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4" w:rsidRDefault="00F50E06" w:rsidP="00500127">
      <w:pPr>
        <w:jc w:val="center"/>
        <w:rPr>
          <w:b/>
        </w:rPr>
      </w:pPr>
      <w:bookmarkStart w:id="0" w:name="_GoBack"/>
      <w:bookmarkEnd w:id="0"/>
      <w:r w:rsidRPr="00F50E06">
        <w:rPr>
          <w:b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7D9D3" wp14:editId="178C7B0D">
                <wp:simplePos x="0" y="0"/>
                <wp:positionH relativeFrom="column">
                  <wp:posOffset>1739265</wp:posOffset>
                </wp:positionH>
                <wp:positionV relativeFrom="paragraph">
                  <wp:posOffset>245745</wp:posOffset>
                </wp:positionV>
                <wp:extent cx="5828030" cy="1403985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06" w:rsidRPr="00F50E06" w:rsidRDefault="00F50E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E06">
                              <w:rPr>
                                <w:sz w:val="18"/>
                                <w:szCs w:val="18"/>
                              </w:rPr>
                              <w:t>The Contractor is required to select a specific area of interest/competence in the Knowledge, Information and Communication categories of products/outputs defined below, and for the selected product/output, indicate the service to be provided based on one or more of the key elements; (</w:t>
                            </w:r>
                            <w:proofErr w:type="spellStart"/>
                            <w:r w:rsidRPr="00F50E06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F50E06">
                              <w:rPr>
                                <w:sz w:val="18"/>
                                <w:szCs w:val="18"/>
                              </w:rPr>
                              <w:t>) content development, (ii) desktop publishing and/or (iii) printing.  Details of the cost breakdown/rates for each type of product and service will be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95pt;margin-top:19.35pt;width:458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">
                <v:textbox style="mso-fit-shape-to-text:t">
                  <w:txbxContent>
                    <w:p w:rsidR="00F50E06" w:rsidRPr="00F50E06" w:rsidRDefault="00F50E06">
                      <w:pPr>
                        <w:rPr>
                          <w:sz w:val="18"/>
                          <w:szCs w:val="18"/>
                        </w:rPr>
                      </w:pPr>
                      <w:r w:rsidRPr="00F50E06">
                        <w:rPr>
                          <w:sz w:val="18"/>
                          <w:szCs w:val="18"/>
                        </w:rPr>
                        <w:t>The Contractor is required to select a specific area of interest/competence in the Knowledge, Information and Communication categories of products/outputs defined below, and for the selected product/output, indicate the service to be provided based on one or more of the key elements; (</w:t>
                      </w:r>
                      <w:proofErr w:type="spellStart"/>
                      <w:r w:rsidRPr="00F50E06">
                        <w:rPr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F50E06">
                        <w:rPr>
                          <w:sz w:val="18"/>
                          <w:szCs w:val="18"/>
                        </w:rPr>
                        <w:t>) content development, (ii) desktop publishing and/or (iii) printing.  Details of the cost breakdown/rates for each type of product and service will be required.</w:t>
                      </w:r>
                    </w:p>
                  </w:txbxContent>
                </v:textbox>
              </v:shape>
            </w:pict>
          </mc:Fallback>
        </mc:AlternateContent>
      </w:r>
      <w:r w:rsidR="00500127" w:rsidRPr="00500127">
        <w:rPr>
          <w:b/>
        </w:rPr>
        <w:t>Annex A:</w:t>
      </w:r>
    </w:p>
    <w:p w:rsidR="00F50E06" w:rsidRPr="00500127" w:rsidRDefault="00F50E06" w:rsidP="00500127">
      <w:pPr>
        <w:jc w:val="center"/>
        <w:rPr>
          <w:b/>
        </w:rPr>
      </w:pPr>
    </w:p>
    <w:p w:rsidR="00F50E06" w:rsidRDefault="00F50E06">
      <w:pPr>
        <w:rPr>
          <w:b/>
        </w:rPr>
      </w:pPr>
    </w:p>
    <w:p w:rsidR="00F50E06" w:rsidRDefault="00F50E06">
      <w:pPr>
        <w:rPr>
          <w:b/>
        </w:rPr>
      </w:pPr>
    </w:p>
    <w:p w:rsidR="00F34A90" w:rsidRPr="00500127" w:rsidRDefault="00F34A90">
      <w:pPr>
        <w:rPr>
          <w:b/>
        </w:rPr>
      </w:pPr>
      <w:r w:rsidRPr="00500127">
        <w:rPr>
          <w:b/>
        </w:rPr>
        <w:t>Name of Applicant:</w:t>
      </w:r>
    </w:p>
    <w:p w:rsidR="00896350" w:rsidRPr="00500127" w:rsidRDefault="005B2F79">
      <w:pPr>
        <w:rPr>
          <w:b/>
        </w:rPr>
      </w:pPr>
    </w:p>
    <w:tbl>
      <w:tblPr>
        <w:tblStyle w:val="TableGrid"/>
        <w:tblW w:w="14099" w:type="dxa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410"/>
        <w:gridCol w:w="986"/>
        <w:gridCol w:w="2599"/>
        <w:gridCol w:w="2835"/>
        <w:gridCol w:w="2897"/>
      </w:tblGrid>
      <w:tr w:rsidR="00A63042" w:rsidRPr="00683904" w:rsidTr="004C4B7B">
        <w:trPr>
          <w:tblHeader/>
          <w:jc w:val="center"/>
        </w:trPr>
        <w:tc>
          <w:tcPr>
            <w:tcW w:w="14099" w:type="dxa"/>
            <w:gridSpan w:val="6"/>
            <w:shd w:val="clear" w:color="auto" w:fill="DEEAF6" w:themeFill="accent1" w:themeFillTint="33"/>
          </w:tcPr>
          <w:p w:rsidR="00A63042" w:rsidRPr="005C69A3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 w:rsidRPr="005C69A3"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  <w:t xml:space="preserve">Table 1: </w:t>
            </w:r>
          </w:p>
          <w:p w:rsidR="00A63042" w:rsidRPr="005C69A3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 w:rsidRPr="005C69A3">
              <w:rPr>
                <w:b/>
                <w:sz w:val="19"/>
                <w:szCs w:val="19"/>
              </w:rPr>
              <w:t xml:space="preserve">Specific </w:t>
            </w:r>
            <w:r w:rsidRPr="005C69A3">
              <w:rPr>
                <w:rFonts w:eastAsia="Arial"/>
                <w:b/>
                <w:color w:val="000000"/>
                <w:sz w:val="19"/>
                <w:szCs w:val="19"/>
              </w:rPr>
              <w:t>Knowledge, Information and Communication</w:t>
            </w:r>
            <w:r w:rsidRPr="005C69A3">
              <w:rPr>
                <w:b/>
                <w:sz w:val="19"/>
                <w:szCs w:val="19"/>
              </w:rPr>
              <w:t xml:space="preserve"> Outputs/Products</w:t>
            </w:r>
          </w:p>
        </w:tc>
      </w:tr>
      <w:tr w:rsidR="00A63042" w:rsidRPr="00683904" w:rsidTr="004C4B7B">
        <w:trPr>
          <w:tblHeader/>
          <w:jc w:val="center"/>
        </w:trPr>
        <w:tc>
          <w:tcPr>
            <w:tcW w:w="4782" w:type="dxa"/>
            <w:gridSpan w:val="2"/>
            <w:vMerge w:val="restart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  <w:t>Select one or more from the Categories Below</w:t>
            </w:r>
          </w:p>
        </w:tc>
        <w:tc>
          <w:tcPr>
            <w:tcW w:w="986" w:type="dxa"/>
            <w:vMerge w:val="restart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  <w:t>Quantity</w:t>
            </w:r>
          </w:p>
        </w:tc>
        <w:tc>
          <w:tcPr>
            <w:tcW w:w="8331" w:type="dxa"/>
            <w:gridSpan w:val="3"/>
            <w:shd w:val="clear" w:color="auto" w:fill="BDD6EE" w:themeFill="accent1" w:themeFillTint="66"/>
            <w:vAlign w:val="center"/>
          </w:tcPr>
          <w:p w:rsidR="00A63042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  <w:t>Quotation Required</w:t>
            </w:r>
            <w:r w:rsidR="007D27E4">
              <w:rPr>
                <w:rFonts w:asciiTheme="majorHAnsi" w:eastAsia="Cambria" w:hAnsiTheme="majorHAnsi" w:cs="Cambria"/>
                <w:b/>
                <w:color w:val="000000"/>
                <w:sz w:val="19"/>
                <w:szCs w:val="19"/>
                <w:lang w:val="en-TT" w:eastAsia="en-TT"/>
              </w:rPr>
              <w:t xml:space="preserve"> US$</w:t>
            </w:r>
          </w:p>
          <w:p w:rsidR="002A1833" w:rsidRPr="0068013F" w:rsidRDefault="002A1833" w:rsidP="0068013F">
            <w:pPr>
              <w:spacing w:line="276" w:lineRule="auto"/>
              <w:rPr>
                <w:rFonts w:asciiTheme="minorHAnsi" w:eastAsia="Cambria" w:hAnsiTheme="minorHAnsi" w:cs="Cambria"/>
                <w:b/>
                <w:color w:val="000000"/>
                <w:sz w:val="19"/>
                <w:szCs w:val="19"/>
                <w:lang w:val="en-TT" w:eastAsia="en-TT"/>
              </w:rPr>
            </w:pPr>
            <w:r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 xml:space="preserve">Delete unnecessary rows </w:t>
            </w:r>
            <w:r w:rsidR="00F50E06"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>(</w:t>
            </w:r>
            <w:r w:rsidR="00563A5E"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>optional)</w:t>
            </w:r>
            <w:r w:rsidR="00101E03"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>,</w:t>
            </w:r>
            <w:r w:rsidR="00563A5E"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 xml:space="preserve"> </w:t>
            </w:r>
            <w:proofErr w:type="spellStart"/>
            <w:r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>i.e</w:t>
            </w:r>
            <w:proofErr w:type="spellEnd"/>
            <w:r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 xml:space="preserve"> products that you will not be providing quotes for, </w:t>
            </w:r>
            <w:r w:rsidRPr="0068013F">
              <w:rPr>
                <w:rFonts w:asciiTheme="minorHAnsi" w:eastAsia="Cambria" w:hAnsiTheme="minorHAnsi" w:cs="Cambria"/>
                <w:b/>
                <w:color w:val="000000"/>
                <w:sz w:val="18"/>
                <w:szCs w:val="18"/>
                <w:lang w:val="en-TT" w:eastAsia="en-TT"/>
              </w:rPr>
              <w:t>but maintain the numbering system</w:t>
            </w:r>
            <w:r w:rsidRPr="0068013F">
              <w:rPr>
                <w:rFonts w:asciiTheme="minorHAnsi" w:eastAsia="Cambria" w:hAnsiTheme="minorHAnsi" w:cs="Cambria"/>
                <w:color w:val="000000"/>
                <w:sz w:val="18"/>
                <w:szCs w:val="18"/>
                <w:lang w:val="en-TT" w:eastAsia="en-TT"/>
              </w:rPr>
              <w:t>.</w:t>
            </w:r>
          </w:p>
        </w:tc>
      </w:tr>
      <w:tr w:rsidR="00CE7A53" w:rsidRPr="00683904" w:rsidTr="004C4B7B">
        <w:trPr>
          <w:tblHeader/>
          <w:jc w:val="center"/>
        </w:trPr>
        <w:tc>
          <w:tcPr>
            <w:tcW w:w="4782" w:type="dxa"/>
            <w:gridSpan w:val="2"/>
            <w:vMerge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986" w:type="dxa"/>
            <w:vMerge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2599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Content Development</w:t>
            </w:r>
          </w:p>
        </w:tc>
        <w:tc>
          <w:tcPr>
            <w:tcW w:w="2835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Desktop Publishing</w:t>
            </w:r>
            <w:r w:rsidRPr="00683904">
              <w:rPr>
                <w:rStyle w:val="FootnoteReference"/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footnoteReference w:id="1"/>
            </w:r>
          </w:p>
        </w:tc>
        <w:tc>
          <w:tcPr>
            <w:tcW w:w="2897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Printing</w:t>
            </w:r>
          </w:p>
        </w:tc>
      </w:tr>
      <w:tr w:rsidR="00CE7A53" w:rsidRPr="00683904" w:rsidTr="004C4B7B">
        <w:trPr>
          <w:jc w:val="center"/>
        </w:trPr>
        <w:tc>
          <w:tcPr>
            <w:tcW w:w="372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1</w:t>
            </w:r>
          </w:p>
        </w:tc>
        <w:tc>
          <w:tcPr>
            <w:tcW w:w="4410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Policy Briefs</w:t>
            </w: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:</w:t>
            </w:r>
          </w:p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Print and electronic searchable briefs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162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2 Briefs per Component (2 x 3)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162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2 Briefs that integrate the 3 Components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162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min #pages = 8; max #pages = 12 pages; 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8</w:t>
            </w:r>
          </w:p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CE7A53" w:rsidRPr="00683904" w:rsidTr="004C4B7B">
        <w:trPr>
          <w:jc w:val="center"/>
        </w:trPr>
        <w:tc>
          <w:tcPr>
            <w:tcW w:w="372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2</w:t>
            </w:r>
          </w:p>
        </w:tc>
        <w:tc>
          <w:tcPr>
            <w:tcW w:w="4410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APP Outcomes Reports</w:t>
            </w: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:</w:t>
            </w:r>
          </w:p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 xml:space="preserve">As described briefly in Section 2.2, ER 1 above  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42"/>
              <w:jc w:val="left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 xml:space="preserve">April Report, covering the period of April 2013 to March 2016 with a Final draft to be submitted no later than 30 April 2016; 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42"/>
              <w:jc w:val="left"/>
              <w:rPr>
                <w:rFonts w:asciiTheme="majorHAnsi" w:hAnsiTheme="majorHAnsi" w:cs="Arial"/>
                <w:b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November Report: Final Report that build</w:t>
            </w:r>
            <w:r>
              <w:rPr>
                <w:rFonts w:asciiTheme="majorHAnsi" w:hAnsiTheme="majorHAnsi" w:cs="Arial"/>
                <w:color w:val="222222"/>
                <w:lang w:val="en-TT" w:eastAsia="en-TT"/>
              </w:rPr>
              <w:t>s</w:t>
            </w: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 xml:space="preserve"> on the </w:t>
            </w:r>
            <w:r>
              <w:rPr>
                <w:rFonts w:asciiTheme="majorHAnsi" w:hAnsiTheme="majorHAnsi" w:cs="Arial"/>
                <w:color w:val="222222"/>
                <w:lang w:val="en-TT" w:eastAsia="en-TT"/>
              </w:rPr>
              <w:t xml:space="preserve">April </w:t>
            </w: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report and promotes the work and results of the APP with emphasis on Possible scale up activities, to be completed in Nov</w:t>
            </w:r>
            <w:r>
              <w:rPr>
                <w:rFonts w:asciiTheme="majorHAnsi" w:hAnsiTheme="majorHAnsi" w:cs="Arial"/>
                <w:color w:val="222222"/>
                <w:lang w:val="en-TT" w:eastAsia="en-TT"/>
              </w:rPr>
              <w:t>.</w:t>
            </w: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 xml:space="preserve"> 2016</w:t>
            </w:r>
            <w:r w:rsidRPr="00683904">
              <w:rPr>
                <w:rFonts w:asciiTheme="majorHAnsi" w:hAnsiTheme="majorHAnsi" w:cs="Arial"/>
                <w:b/>
                <w:color w:val="222222"/>
                <w:lang w:val="en-TT" w:eastAsia="en-TT"/>
              </w:rPr>
              <w:t>.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47" w:hanging="147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lastRenderedPageBreak/>
              <w:t>min # pages = 60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47" w:hanging="147"/>
              <w:rPr>
                <w:rFonts w:asciiTheme="majorHAnsi" w:eastAsia="Cambria" w:hAnsiTheme="majorHAnsi" w:cs="Cambria"/>
                <w:color w:val="000000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max # pages= 120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lastRenderedPageBreak/>
              <w:t>2</w:t>
            </w: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CE7A53" w:rsidRPr="00683904" w:rsidTr="004C4B7B">
        <w:trPr>
          <w:jc w:val="center"/>
        </w:trPr>
        <w:tc>
          <w:tcPr>
            <w:tcW w:w="372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lastRenderedPageBreak/>
              <w:t>3</w:t>
            </w:r>
          </w:p>
        </w:tc>
        <w:tc>
          <w:tcPr>
            <w:tcW w:w="4410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Commodity</w:t>
            </w: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 xml:space="preserve">–Based </w:t>
            </w: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Profiles:</w:t>
            </w:r>
          </w:p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At least 3 short publications that extract information from the activities and reports of all 3 Components in a commodity specific approach to capture the work done by the APP on the priority commodities that should: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147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explain why the commodity is a priority;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147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trace the development path from inputs to market;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147" w:hanging="180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identify gaps (which can either be dealt with in a subsequent project or by existing agency work programmes)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A63042" w:rsidRPr="00683904" w:rsidTr="004C4B7B">
        <w:trPr>
          <w:jc w:val="center"/>
        </w:trPr>
        <w:tc>
          <w:tcPr>
            <w:tcW w:w="372" w:type="dxa"/>
            <w:shd w:val="clear" w:color="auto" w:fill="auto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4</w:t>
            </w:r>
          </w:p>
        </w:tc>
        <w:tc>
          <w:tcPr>
            <w:tcW w:w="13727" w:type="dxa"/>
            <w:gridSpan w:val="5"/>
            <w:shd w:val="clear" w:color="auto" w:fill="auto"/>
          </w:tcPr>
          <w:p w:rsidR="00A63042" w:rsidRPr="00683904" w:rsidRDefault="00A63042" w:rsidP="00CA40D6">
            <w:pPr>
              <w:spacing w:line="276" w:lineRule="auto"/>
              <w:rPr>
                <w:rFonts w:asciiTheme="majorHAnsi" w:hAnsiTheme="majorHAnsi" w:cs="Arial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Visibility Products</w:t>
            </w: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:</w:t>
            </w:r>
          </w:p>
        </w:tc>
      </w:tr>
      <w:tr w:rsidR="00CE7A53" w:rsidRPr="00683904" w:rsidTr="004C4B7B">
        <w:trPr>
          <w:jc w:val="center"/>
        </w:trPr>
        <w:tc>
          <w:tcPr>
            <w:tcW w:w="372" w:type="dxa"/>
            <w:vMerge w:val="restart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4410" w:type="dxa"/>
          </w:tcPr>
          <w:p w:rsidR="00A63042" w:rsidRPr="00936EF5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</w:pPr>
            <w:r w:rsidRPr="00936EF5"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  <w:t>Monthly print &amp; online news articles</w:t>
            </w:r>
          </w:p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 xml:space="preserve">At least one monthly news article, media release in mainstream printed </w:t>
            </w:r>
            <w:r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 xml:space="preserve">and online </w:t>
            </w: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press for the duration of the consultancy MS Word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37" w:hanging="237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 xml:space="preserve">Min. 300 words with photo; </w:t>
            </w:r>
          </w:p>
          <w:p w:rsidR="00A63042" w:rsidRPr="00683904" w:rsidRDefault="00A63042" w:rsidP="00A63042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237" w:hanging="237"/>
              <w:rPr>
                <w:rFonts w:asciiTheme="majorHAnsi" w:hAnsiTheme="majorHAnsi" w:cs="Arial"/>
                <w:color w:val="222222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lang w:val="en-TT" w:eastAsia="en-TT"/>
              </w:rPr>
              <w:t>Max. 700 words with photos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  <w:t>8</w:t>
            </w: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CE7A53" w:rsidRPr="00683904" w:rsidTr="004C4B7B">
        <w:trPr>
          <w:jc w:val="center"/>
        </w:trPr>
        <w:tc>
          <w:tcPr>
            <w:tcW w:w="372" w:type="dxa"/>
            <w:vMerge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4410" w:type="dxa"/>
          </w:tcPr>
          <w:p w:rsidR="00A63042" w:rsidRPr="00936EF5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</w:pPr>
            <w:r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  <w:t xml:space="preserve">Thematic-Technical </w:t>
            </w:r>
            <w:r w:rsidRPr="00936EF5"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  <w:t xml:space="preserve">features </w:t>
            </w:r>
          </w:p>
          <w:p w:rsidR="00A63042" w:rsidRPr="00683904" w:rsidRDefault="00A63042" w:rsidP="00CA40D6">
            <w:pPr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One per APP Component</w:t>
            </w:r>
          </w:p>
          <w:p w:rsidR="00A63042" w:rsidRPr="00683904" w:rsidRDefault="00A63042" w:rsidP="00CA40D6">
            <w:pPr>
              <w:spacing w:line="276" w:lineRule="auto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March; June, Sept 2016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  <w:t>3</w:t>
            </w: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CE7A53" w:rsidRPr="00683904" w:rsidTr="004C4B7B">
        <w:trPr>
          <w:jc w:val="center"/>
        </w:trPr>
        <w:tc>
          <w:tcPr>
            <w:tcW w:w="372" w:type="dxa"/>
            <w:vMerge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</w:pPr>
          </w:p>
        </w:tc>
        <w:tc>
          <w:tcPr>
            <w:tcW w:w="4410" w:type="dxa"/>
          </w:tcPr>
          <w:p w:rsidR="00A63042" w:rsidRPr="00936EF5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</w:pPr>
            <w:r w:rsidRPr="00936EF5"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  <w:t>Pre &amp; post media releases linked to </w:t>
            </w:r>
            <w:r w:rsidRPr="00936EF5"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u w:val="single"/>
                <w:lang w:val="en-TT" w:eastAsia="en-TT"/>
              </w:rPr>
              <w:t>regional</w:t>
            </w:r>
            <w:r w:rsidRPr="00936EF5">
              <w:rPr>
                <w:rFonts w:asciiTheme="majorHAnsi" w:hAnsiTheme="majorHAnsi" w:cs="Arial"/>
                <w:b/>
                <w:i/>
                <w:color w:val="222222"/>
                <w:sz w:val="19"/>
                <w:szCs w:val="19"/>
                <w:lang w:val="en-TT" w:eastAsia="en-TT"/>
              </w:rPr>
              <w:t xml:space="preserve"> workshops/meetings </w:t>
            </w:r>
          </w:p>
          <w:p w:rsidR="00A63042" w:rsidRPr="00683904" w:rsidRDefault="00A63042" w:rsidP="00CA40D6">
            <w:pPr>
              <w:spacing w:line="276" w:lineRule="auto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 xml:space="preserve">(max # between March </w:t>
            </w:r>
            <w:r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–</w:t>
            </w:r>
            <w:r w:rsidRPr="00683904"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 xml:space="preserve"> October = 6</w:t>
            </w:r>
            <w:r>
              <w:rPr>
                <w:rFonts w:asciiTheme="majorHAnsi" w:hAnsiTheme="majorHAnsi" w:cs="Arial"/>
                <w:color w:val="222222"/>
                <w:sz w:val="19"/>
                <w:szCs w:val="19"/>
                <w:lang w:val="en-TT" w:eastAsia="en-TT"/>
              </w:rPr>
              <w:t>)</w:t>
            </w:r>
          </w:p>
        </w:tc>
        <w:tc>
          <w:tcPr>
            <w:tcW w:w="986" w:type="dxa"/>
          </w:tcPr>
          <w:p w:rsidR="00A63042" w:rsidRPr="00683904" w:rsidRDefault="00A63042" w:rsidP="00CA40D6">
            <w:pPr>
              <w:spacing w:line="276" w:lineRule="auto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  <w:tr w:rsidR="00CE7A53" w:rsidRPr="00683904" w:rsidTr="004C4B7B">
        <w:trPr>
          <w:jc w:val="center"/>
        </w:trPr>
        <w:tc>
          <w:tcPr>
            <w:tcW w:w="372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5</w:t>
            </w:r>
          </w:p>
        </w:tc>
        <w:tc>
          <w:tcPr>
            <w:tcW w:w="4410" w:type="dxa"/>
          </w:tcPr>
          <w:p w:rsidR="00A63042" w:rsidRPr="00683904" w:rsidRDefault="00A63042" w:rsidP="00CA40D6">
            <w:pPr>
              <w:shd w:val="clear" w:color="auto" w:fill="FFFFFF"/>
              <w:spacing w:line="276" w:lineRule="auto"/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b/>
                <w:color w:val="222222"/>
                <w:sz w:val="19"/>
                <w:szCs w:val="19"/>
                <w:lang w:val="en-TT" w:eastAsia="en-TT"/>
              </w:rPr>
              <w:t>APP Reports</w:t>
            </w:r>
          </w:p>
          <w:p w:rsidR="00A63042" w:rsidRPr="00683904" w:rsidRDefault="00A63042" w:rsidP="00CA40D6">
            <w:pPr>
              <w:spacing w:line="276" w:lineRule="auto"/>
              <w:rPr>
                <w:rFonts w:asciiTheme="majorHAnsi" w:hAnsiTheme="majorHAnsi" w:cs="Arial"/>
                <w:color w:val="FF0000"/>
                <w:sz w:val="19"/>
                <w:szCs w:val="19"/>
                <w:lang w:val="en-TT" w:eastAsia="en-TT"/>
              </w:rPr>
            </w:pP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lastRenderedPageBreak/>
              <w:t>Copy-editing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 of APP final</w:t>
            </w: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 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>t</w:t>
            </w: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>echnical reports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 and </w:t>
            </w: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>studies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, workshop </w:t>
            </w: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and meeting reports to include proof reading, basic augmentation for enhanced reading, creation of abstracts and summaries, as necessary for circulation 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 xml:space="preserve">for general </w:t>
            </w:r>
            <w:r w:rsidRPr="00683904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>audience</w:t>
            </w:r>
            <w:r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en-TT" w:eastAsia="en-TT"/>
              </w:rPr>
              <w:t>.  These reports range from min. #pages @30 to maximum # pages @ 200.</w:t>
            </w:r>
          </w:p>
        </w:tc>
        <w:tc>
          <w:tcPr>
            <w:tcW w:w="986" w:type="dxa"/>
          </w:tcPr>
          <w:p w:rsidR="00A63042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</w:p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color w:val="000000"/>
                <w:sz w:val="19"/>
                <w:szCs w:val="19"/>
                <w:lang w:val="en-TT" w:eastAsia="en-TT"/>
              </w:rPr>
            </w:pPr>
            <w:r w:rsidRPr="00ED1A5D">
              <w:rPr>
                <w:rFonts w:asciiTheme="majorHAnsi" w:eastAsia="Cambria" w:hAnsiTheme="majorHAnsi" w:cs="Cambria"/>
                <w:color w:val="000000"/>
                <w:sz w:val="18"/>
                <w:szCs w:val="19"/>
                <w:lang w:val="en-TT" w:eastAsia="en-TT"/>
              </w:rPr>
              <w:lastRenderedPageBreak/>
              <w:t>Specific documents to be identified as and when completed</w:t>
            </w:r>
          </w:p>
        </w:tc>
        <w:tc>
          <w:tcPr>
            <w:tcW w:w="2599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35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  <w:tc>
          <w:tcPr>
            <w:tcW w:w="2897" w:type="dxa"/>
            <w:vAlign w:val="center"/>
          </w:tcPr>
          <w:p w:rsidR="00A63042" w:rsidRPr="00683904" w:rsidRDefault="00A63042" w:rsidP="00CA40D6">
            <w:pPr>
              <w:spacing w:line="276" w:lineRule="auto"/>
              <w:jc w:val="center"/>
              <w:rPr>
                <w:rFonts w:asciiTheme="majorHAnsi" w:eastAsia="Cambria" w:hAnsiTheme="majorHAnsi" w:cs="Cambria"/>
                <w:b/>
                <w:color w:val="2E74B5" w:themeColor="accent1" w:themeShade="BF"/>
                <w:sz w:val="19"/>
                <w:szCs w:val="19"/>
                <w:lang w:val="en-TT" w:eastAsia="en-TT"/>
              </w:rPr>
            </w:pPr>
          </w:p>
        </w:tc>
      </w:tr>
    </w:tbl>
    <w:p w:rsidR="00A63042" w:rsidRDefault="00A63042"/>
    <w:sectPr w:rsidR="00A63042" w:rsidSect="002A183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79" w:rsidRDefault="005B2F79" w:rsidP="00A63042">
      <w:pPr>
        <w:spacing w:after="0" w:line="240" w:lineRule="auto"/>
      </w:pPr>
      <w:r>
        <w:separator/>
      </w:r>
    </w:p>
  </w:endnote>
  <w:endnote w:type="continuationSeparator" w:id="0">
    <w:p w:rsidR="005B2F79" w:rsidRDefault="005B2F79" w:rsidP="00A6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8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01C3" w:rsidRDefault="00420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1C3" w:rsidRDefault="00420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79" w:rsidRDefault="005B2F79" w:rsidP="00A63042">
      <w:pPr>
        <w:spacing w:after="0" w:line="240" w:lineRule="auto"/>
      </w:pPr>
      <w:r>
        <w:separator/>
      </w:r>
    </w:p>
  </w:footnote>
  <w:footnote w:type="continuationSeparator" w:id="0">
    <w:p w:rsidR="005B2F79" w:rsidRDefault="005B2F79" w:rsidP="00A63042">
      <w:pPr>
        <w:spacing w:after="0" w:line="240" w:lineRule="auto"/>
      </w:pPr>
      <w:r>
        <w:continuationSeparator/>
      </w:r>
    </w:p>
  </w:footnote>
  <w:footnote w:id="1">
    <w:p w:rsidR="00A63042" w:rsidRPr="00B85593" w:rsidRDefault="00A63042" w:rsidP="00A63042">
      <w:pPr>
        <w:pStyle w:val="FootnoteText"/>
        <w:rPr>
          <w:rFonts w:asciiTheme="majorHAnsi" w:hAnsiTheme="majorHAnsi"/>
          <w:sz w:val="18"/>
          <w:lang w:val="en-TT"/>
        </w:rPr>
      </w:pPr>
      <w:r w:rsidRPr="00B85593">
        <w:rPr>
          <w:rStyle w:val="FootnoteReference"/>
          <w:rFonts w:asciiTheme="majorHAnsi" w:hAnsiTheme="majorHAnsi"/>
          <w:sz w:val="18"/>
        </w:rPr>
        <w:footnoteRef/>
      </w:r>
      <w:r w:rsidRPr="00B85593">
        <w:rPr>
          <w:rFonts w:asciiTheme="majorHAnsi" w:hAnsiTheme="majorHAnsi"/>
          <w:sz w:val="18"/>
        </w:rPr>
        <w:t xml:space="preserve"> </w:t>
      </w:r>
      <w:r w:rsidRPr="00B85593">
        <w:rPr>
          <w:rFonts w:asciiTheme="majorHAnsi" w:hAnsiTheme="majorHAnsi" w:cs="Arial"/>
          <w:color w:val="222222"/>
          <w:sz w:val="18"/>
          <w:lang w:val="en-TT" w:eastAsia="en-TT"/>
        </w:rPr>
        <w:t>Design, Artwork and Layout for print/online ready versions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06" w:rsidRDefault="00F50E06" w:rsidP="00F50E06">
    <w:pPr>
      <w:jc w:val="center"/>
      <w:rPr>
        <w:b/>
      </w:rPr>
    </w:pPr>
    <w:r w:rsidRPr="00500127">
      <w:rPr>
        <w:b/>
      </w:rPr>
      <w:t>Communications and Knowledge Management Services</w:t>
    </w:r>
  </w:p>
  <w:p w:rsidR="00F50E06" w:rsidRDefault="00F50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ED"/>
    <w:multiLevelType w:val="hybridMultilevel"/>
    <w:tmpl w:val="89CA873A"/>
    <w:lvl w:ilvl="0" w:tplc="3050D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2E51"/>
    <w:multiLevelType w:val="hybridMultilevel"/>
    <w:tmpl w:val="2118180C"/>
    <w:lvl w:ilvl="0" w:tplc="3050D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0CDA"/>
    <w:multiLevelType w:val="hybridMultilevel"/>
    <w:tmpl w:val="19B6D50E"/>
    <w:lvl w:ilvl="0" w:tplc="03D0854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4059"/>
    <w:multiLevelType w:val="hybridMultilevel"/>
    <w:tmpl w:val="7B3E702E"/>
    <w:lvl w:ilvl="0" w:tplc="3050D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7A7"/>
    <w:multiLevelType w:val="hybridMultilevel"/>
    <w:tmpl w:val="ED800D0A"/>
    <w:lvl w:ilvl="0" w:tplc="81B0B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42"/>
    <w:rsid w:val="000D2B4C"/>
    <w:rsid w:val="00101E03"/>
    <w:rsid w:val="002A1833"/>
    <w:rsid w:val="004201C3"/>
    <w:rsid w:val="004C4B7B"/>
    <w:rsid w:val="00500127"/>
    <w:rsid w:val="00563A5E"/>
    <w:rsid w:val="005B2F79"/>
    <w:rsid w:val="0068013F"/>
    <w:rsid w:val="006F0ABA"/>
    <w:rsid w:val="007D27E4"/>
    <w:rsid w:val="00881E17"/>
    <w:rsid w:val="00A63042"/>
    <w:rsid w:val="00C13E2B"/>
    <w:rsid w:val="00CE7A53"/>
    <w:rsid w:val="00DD02D0"/>
    <w:rsid w:val="00F34A90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63042"/>
    <w:pPr>
      <w:spacing w:after="200" w:line="240" w:lineRule="auto"/>
    </w:pPr>
    <w:rPr>
      <w:rFonts w:ascii="Calibri" w:eastAsia="Calibri" w:hAnsi="Calibri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3042"/>
    <w:rPr>
      <w:rFonts w:ascii="Calibri" w:eastAsia="Calibri" w:hAnsi="Calibri" w:cs="Times New Roman"/>
      <w:sz w:val="20"/>
      <w:szCs w:val="20"/>
      <w:lang w:val="en-CA"/>
    </w:rPr>
  </w:style>
  <w:style w:type="character" w:styleId="FootnoteReference">
    <w:name w:val="footnote reference"/>
    <w:uiPriority w:val="99"/>
    <w:unhideWhenUsed/>
    <w:rsid w:val="00A63042"/>
    <w:rPr>
      <w:vertAlign w:val="superscript"/>
    </w:rPr>
  </w:style>
  <w:style w:type="table" w:styleId="TableGrid">
    <w:name w:val="Table Grid"/>
    <w:basedOn w:val="TableNormal"/>
    <w:uiPriority w:val="39"/>
    <w:rsid w:val="00A63042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3042"/>
    <w:pPr>
      <w:spacing w:after="60" w:line="276" w:lineRule="auto"/>
      <w:ind w:left="720" w:hanging="360"/>
      <w:jc w:val="both"/>
    </w:pPr>
    <w:rPr>
      <w:rFonts w:ascii="Century Gothic" w:eastAsia="Calibri" w:hAnsi="Century Gothic" w:cs="Calibri"/>
      <w:sz w:val="19"/>
      <w:szCs w:val="19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3042"/>
    <w:rPr>
      <w:rFonts w:ascii="Century Gothic" w:eastAsia="Calibri" w:hAnsi="Century Gothic" w:cs="Calibri"/>
      <w:sz w:val="19"/>
      <w:szCs w:val="19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06"/>
  </w:style>
  <w:style w:type="paragraph" w:styleId="Footer">
    <w:name w:val="footer"/>
    <w:basedOn w:val="Normal"/>
    <w:link w:val="FooterChar"/>
    <w:uiPriority w:val="99"/>
    <w:unhideWhenUsed/>
    <w:rsid w:val="00F5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63042"/>
    <w:pPr>
      <w:spacing w:after="200" w:line="240" w:lineRule="auto"/>
    </w:pPr>
    <w:rPr>
      <w:rFonts w:ascii="Calibri" w:eastAsia="Calibri" w:hAnsi="Calibri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3042"/>
    <w:rPr>
      <w:rFonts w:ascii="Calibri" w:eastAsia="Calibri" w:hAnsi="Calibri" w:cs="Times New Roman"/>
      <w:sz w:val="20"/>
      <w:szCs w:val="20"/>
      <w:lang w:val="en-CA"/>
    </w:rPr>
  </w:style>
  <w:style w:type="character" w:styleId="FootnoteReference">
    <w:name w:val="footnote reference"/>
    <w:uiPriority w:val="99"/>
    <w:unhideWhenUsed/>
    <w:rsid w:val="00A63042"/>
    <w:rPr>
      <w:vertAlign w:val="superscript"/>
    </w:rPr>
  </w:style>
  <w:style w:type="table" w:styleId="TableGrid">
    <w:name w:val="Table Grid"/>
    <w:basedOn w:val="TableNormal"/>
    <w:uiPriority w:val="39"/>
    <w:rsid w:val="00A63042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3042"/>
    <w:pPr>
      <w:spacing w:after="60" w:line="276" w:lineRule="auto"/>
      <w:ind w:left="720" w:hanging="360"/>
      <w:jc w:val="both"/>
    </w:pPr>
    <w:rPr>
      <w:rFonts w:ascii="Century Gothic" w:eastAsia="Calibri" w:hAnsi="Century Gothic" w:cs="Calibri"/>
      <w:sz w:val="19"/>
      <w:szCs w:val="19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3042"/>
    <w:rPr>
      <w:rFonts w:ascii="Century Gothic" w:eastAsia="Calibri" w:hAnsi="Century Gothic" w:cs="Calibri"/>
      <w:sz w:val="19"/>
      <w:szCs w:val="19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06"/>
  </w:style>
  <w:style w:type="paragraph" w:styleId="Footer">
    <w:name w:val="footer"/>
    <w:basedOn w:val="Normal"/>
    <w:link w:val="FooterChar"/>
    <w:uiPriority w:val="99"/>
    <w:unhideWhenUsed/>
    <w:rsid w:val="00F5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1913</Characters>
  <Application>Microsoft Office Word</Application>
  <DocSecurity>0</DocSecurity>
  <Lines>15</Lines>
  <Paragraphs>4</Paragraphs>
  <ScaleCrop>false</ScaleCrop>
  <Company>IICA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Prevost</dc:creator>
  <cp:lastModifiedBy>Shanna Prevost</cp:lastModifiedBy>
  <cp:revision>17</cp:revision>
  <dcterms:created xsi:type="dcterms:W3CDTF">2016-03-02T14:59:00Z</dcterms:created>
  <dcterms:modified xsi:type="dcterms:W3CDTF">2016-03-02T15:21:00Z</dcterms:modified>
</cp:coreProperties>
</file>