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1E4" w:rsidRPr="00345AA8" w:rsidRDefault="00D0601B" w:rsidP="00D0601B">
      <w:pPr>
        <w:jc w:val="center"/>
        <w:rPr>
          <w:b/>
          <w:bCs/>
          <w:lang w:val="en-US"/>
        </w:rPr>
      </w:pPr>
      <w:r w:rsidRPr="00345AA8">
        <w:rPr>
          <w:b/>
          <w:bCs/>
          <w:lang w:val="en-US"/>
        </w:rPr>
        <w:t>Caribbean Community Secretariat</w:t>
      </w:r>
    </w:p>
    <w:p w:rsidR="00B271E4" w:rsidRPr="00345AA8" w:rsidRDefault="00D0601B" w:rsidP="00D7733F">
      <w:pPr>
        <w:jc w:val="center"/>
        <w:rPr>
          <w:b/>
        </w:rPr>
      </w:pPr>
      <w:r w:rsidRPr="00345AA8">
        <w:rPr>
          <w:b/>
        </w:rPr>
        <w:t>Supply, delivery, unloading, installation, commissioning of</w:t>
      </w:r>
      <w:r w:rsidRPr="00345AA8">
        <w:rPr>
          <w:b/>
        </w:rPr>
        <w:br/>
        <w:t xml:space="preserve">hardware, software and other electronic equipment for CARICOM Member States </w:t>
      </w:r>
      <w:r w:rsidRPr="00345AA8">
        <w:rPr>
          <w:b/>
        </w:rPr>
        <w:br/>
        <w:t>(Ref: 10</w:t>
      </w:r>
      <w:r w:rsidRPr="00345AA8">
        <w:rPr>
          <w:b/>
          <w:vertAlign w:val="superscript"/>
        </w:rPr>
        <w:t>th</w:t>
      </w:r>
      <w:r w:rsidRPr="00345AA8">
        <w:rPr>
          <w:b/>
        </w:rPr>
        <w:t xml:space="preserve"> EDF/CSME_EIP/SUP/Multi/16.17)</w:t>
      </w:r>
    </w:p>
    <w:p w:rsidR="0044490D" w:rsidRPr="00345AA8" w:rsidRDefault="00C20766" w:rsidP="00C20766">
      <w:pPr>
        <w:jc w:val="center"/>
        <w:rPr>
          <w:b/>
        </w:rPr>
      </w:pPr>
      <w:r w:rsidRPr="00345AA8">
        <w:rPr>
          <w:b/>
        </w:rPr>
        <w:t>Clarifications</w:t>
      </w:r>
    </w:p>
    <w:p w:rsidR="00D6354D" w:rsidRPr="00345AA8" w:rsidRDefault="00D6354D" w:rsidP="00D6354D">
      <w:pPr>
        <w:pStyle w:val="Clarification"/>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D6354D" w:rsidRPr="00345AA8" w:rsidTr="00D6354D">
        <w:trPr>
          <w:jc w:val="center"/>
        </w:trPr>
        <w:tc>
          <w:tcPr>
            <w:tcW w:w="1439" w:type="pct"/>
            <w:shd w:val="clear" w:color="auto" w:fill="E0E0E0"/>
          </w:tcPr>
          <w:p w:rsidR="00D6354D" w:rsidRPr="00345AA8" w:rsidRDefault="00D6354D" w:rsidP="00D6354D">
            <w:pPr>
              <w:spacing w:before="60"/>
            </w:pPr>
            <w:r w:rsidRPr="00345AA8">
              <w:t>Document/Section/Page Reference</w:t>
            </w:r>
          </w:p>
        </w:tc>
        <w:tc>
          <w:tcPr>
            <w:tcW w:w="3561" w:type="pct"/>
          </w:tcPr>
          <w:p w:rsidR="00D6354D" w:rsidRPr="00345AA8" w:rsidRDefault="00D92DCC" w:rsidP="00D6354D">
            <w:pPr>
              <w:spacing w:before="60"/>
            </w:pPr>
            <w:r w:rsidRPr="00345AA8">
              <w:t>Supply Contract Notice CSME/ p.6</w:t>
            </w:r>
          </w:p>
        </w:tc>
      </w:tr>
      <w:tr w:rsidR="00D6354D" w:rsidRPr="00345AA8" w:rsidTr="00D6354D">
        <w:trPr>
          <w:jc w:val="center"/>
        </w:trPr>
        <w:tc>
          <w:tcPr>
            <w:tcW w:w="1439" w:type="pct"/>
            <w:shd w:val="clear" w:color="auto" w:fill="E0E0E0"/>
          </w:tcPr>
          <w:p w:rsidR="00D6354D" w:rsidRPr="00345AA8" w:rsidRDefault="00D6354D" w:rsidP="00D6354D">
            <w:pPr>
              <w:spacing w:before="60"/>
            </w:pPr>
            <w:r w:rsidRPr="00345AA8">
              <w:t>Topic in Document</w:t>
            </w:r>
          </w:p>
        </w:tc>
        <w:tc>
          <w:tcPr>
            <w:tcW w:w="3561" w:type="pct"/>
          </w:tcPr>
          <w:p w:rsidR="00D6354D" w:rsidRPr="00345AA8" w:rsidRDefault="00D6354D" w:rsidP="00D6354D">
            <w:r w:rsidRPr="00345AA8">
              <w:t xml:space="preserve">Award criteria </w:t>
            </w:r>
          </w:p>
        </w:tc>
      </w:tr>
      <w:tr w:rsidR="00D6354D" w:rsidRPr="00345AA8" w:rsidTr="00D6354D">
        <w:trPr>
          <w:trHeight w:val="251"/>
          <w:jc w:val="center"/>
        </w:trPr>
        <w:tc>
          <w:tcPr>
            <w:tcW w:w="1439" w:type="pct"/>
            <w:shd w:val="clear" w:color="auto" w:fill="E0E0E0"/>
          </w:tcPr>
          <w:p w:rsidR="00D6354D" w:rsidRPr="00345AA8" w:rsidRDefault="00D6354D" w:rsidP="00D6354D">
            <w:pPr>
              <w:spacing w:before="60"/>
            </w:pPr>
            <w:r w:rsidRPr="00345AA8">
              <w:t>Passage in Document</w:t>
            </w:r>
          </w:p>
        </w:tc>
        <w:tc>
          <w:tcPr>
            <w:tcW w:w="3561" w:type="pct"/>
          </w:tcPr>
          <w:p w:rsidR="00D6354D" w:rsidRPr="00345AA8" w:rsidRDefault="00D92DCC" w:rsidP="00D6354D">
            <w:pPr>
              <w:spacing w:before="60"/>
            </w:pPr>
            <w:r w:rsidRPr="00345AA8">
              <w:t>Item 17</w:t>
            </w:r>
          </w:p>
        </w:tc>
      </w:tr>
      <w:tr w:rsidR="00D6354D" w:rsidRPr="00345AA8" w:rsidTr="00D6354D">
        <w:trPr>
          <w:jc w:val="center"/>
        </w:trPr>
        <w:tc>
          <w:tcPr>
            <w:tcW w:w="1439" w:type="pct"/>
            <w:shd w:val="clear" w:color="auto" w:fill="E0E0E0"/>
          </w:tcPr>
          <w:p w:rsidR="00D6354D" w:rsidRPr="00345AA8" w:rsidRDefault="00D6354D" w:rsidP="00D6354D">
            <w:pPr>
              <w:spacing w:before="60"/>
            </w:pPr>
            <w:r w:rsidRPr="00345AA8">
              <w:t>Tenderer’s Question</w:t>
            </w:r>
          </w:p>
        </w:tc>
        <w:tc>
          <w:tcPr>
            <w:tcW w:w="3561" w:type="pct"/>
          </w:tcPr>
          <w:p w:rsidR="00D6354D" w:rsidRPr="00345AA8" w:rsidRDefault="00D6354D" w:rsidP="00D6354D">
            <w:pPr>
              <w:spacing w:before="60"/>
            </w:pPr>
            <w:r w:rsidRPr="00345AA8">
              <w:t>Under award criteria it simply states “price”. Can the CARI</w:t>
            </w:r>
            <w:r w:rsidR="004166C8" w:rsidRPr="00345AA8">
              <w:t>COM please confirm if there is </w:t>
            </w:r>
            <w:r w:rsidRPr="00345AA8">
              <w:t>price/quality split for the tender evaluation?</w:t>
            </w:r>
          </w:p>
        </w:tc>
      </w:tr>
      <w:tr w:rsidR="00D6354D" w:rsidRPr="00345AA8" w:rsidTr="00D6354D">
        <w:trPr>
          <w:jc w:val="center"/>
        </w:trPr>
        <w:tc>
          <w:tcPr>
            <w:tcW w:w="1439" w:type="pct"/>
            <w:shd w:val="clear" w:color="auto" w:fill="E0E0E0"/>
          </w:tcPr>
          <w:p w:rsidR="00D6354D" w:rsidRPr="00345AA8" w:rsidRDefault="00D6354D" w:rsidP="00D6354D">
            <w:pPr>
              <w:spacing w:before="60"/>
            </w:pPr>
            <w:r w:rsidRPr="00D01CC1">
              <w:t>Answer</w:t>
            </w:r>
          </w:p>
        </w:tc>
        <w:tc>
          <w:tcPr>
            <w:tcW w:w="3561" w:type="pct"/>
          </w:tcPr>
          <w:p w:rsidR="00D6354D" w:rsidRPr="00345AA8" w:rsidRDefault="00D114BD" w:rsidP="00D6354D">
            <w:r w:rsidRPr="00345AA8">
              <w:t>In</w:t>
            </w:r>
            <w:r w:rsidR="004166C8" w:rsidRPr="00345AA8">
              <w:t xml:space="preserve"> order for a contract to be awarded, the tenderer and his offer must be compliant with the selection criteria, administrative requirements and technical specifications outlined. </w:t>
            </w:r>
            <w:r w:rsidR="00644F4E" w:rsidRPr="00345AA8">
              <w:t>Once compliance has been established, the lowest priced compliant tender is recommended for award of contract.</w:t>
            </w:r>
          </w:p>
        </w:tc>
      </w:tr>
    </w:tbl>
    <w:p w:rsidR="002C6ACA" w:rsidRPr="00345AA8" w:rsidRDefault="002C6ACA" w:rsidP="002C6ACA">
      <w:pPr>
        <w:pStyle w:val="Clarification"/>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2C6ACA" w:rsidRPr="00345AA8" w:rsidTr="002C6ACA">
        <w:trPr>
          <w:jc w:val="center"/>
        </w:trPr>
        <w:tc>
          <w:tcPr>
            <w:tcW w:w="1439" w:type="pct"/>
            <w:shd w:val="clear" w:color="auto" w:fill="E0E0E0"/>
          </w:tcPr>
          <w:p w:rsidR="002C6ACA" w:rsidRPr="00345AA8" w:rsidRDefault="002C6ACA" w:rsidP="002C6ACA">
            <w:pPr>
              <w:spacing w:before="60"/>
            </w:pPr>
            <w:r w:rsidRPr="00345AA8">
              <w:t>Document/Section/Page Reference</w:t>
            </w:r>
          </w:p>
        </w:tc>
        <w:tc>
          <w:tcPr>
            <w:tcW w:w="3561" w:type="pct"/>
          </w:tcPr>
          <w:p w:rsidR="002C6ACA" w:rsidRPr="00345AA8" w:rsidRDefault="002C6ACA" w:rsidP="002C6ACA">
            <w:pPr>
              <w:spacing w:before="60"/>
            </w:pPr>
            <w:r w:rsidRPr="00345AA8">
              <w:t>Supply Contract Notice CSME/Section 8/p.2</w:t>
            </w:r>
          </w:p>
        </w:tc>
      </w:tr>
      <w:tr w:rsidR="002C6ACA" w:rsidRPr="00345AA8" w:rsidTr="002C6ACA">
        <w:trPr>
          <w:jc w:val="center"/>
        </w:trPr>
        <w:tc>
          <w:tcPr>
            <w:tcW w:w="1439" w:type="pct"/>
            <w:shd w:val="clear" w:color="auto" w:fill="E0E0E0"/>
          </w:tcPr>
          <w:p w:rsidR="002C6ACA" w:rsidRPr="00345AA8" w:rsidRDefault="002C6ACA" w:rsidP="002C6ACA">
            <w:pPr>
              <w:spacing w:before="60"/>
            </w:pPr>
            <w:r w:rsidRPr="00345AA8">
              <w:t>Topic in Document</w:t>
            </w:r>
          </w:p>
        </w:tc>
        <w:tc>
          <w:tcPr>
            <w:tcW w:w="3561" w:type="pct"/>
          </w:tcPr>
          <w:p w:rsidR="002C6ACA" w:rsidRPr="00345AA8" w:rsidRDefault="002C6ACA" w:rsidP="002C6ACA">
            <w:r w:rsidRPr="00345AA8">
              <w:t xml:space="preserve">Eligibility and rules of origin </w:t>
            </w:r>
          </w:p>
        </w:tc>
      </w:tr>
      <w:tr w:rsidR="002C6ACA" w:rsidRPr="00345AA8" w:rsidTr="002C6ACA">
        <w:trPr>
          <w:trHeight w:val="251"/>
          <w:jc w:val="center"/>
        </w:trPr>
        <w:tc>
          <w:tcPr>
            <w:tcW w:w="1439" w:type="pct"/>
            <w:shd w:val="clear" w:color="auto" w:fill="E0E0E0"/>
          </w:tcPr>
          <w:p w:rsidR="002C6ACA" w:rsidRPr="00345AA8" w:rsidRDefault="002C6ACA" w:rsidP="002C6ACA">
            <w:pPr>
              <w:spacing w:before="60"/>
            </w:pPr>
            <w:r w:rsidRPr="00345AA8">
              <w:t>Passage in Document</w:t>
            </w:r>
          </w:p>
        </w:tc>
        <w:tc>
          <w:tcPr>
            <w:tcW w:w="3561" w:type="pct"/>
          </w:tcPr>
          <w:p w:rsidR="002C6ACA" w:rsidRPr="00345AA8" w:rsidRDefault="002C6ACA" w:rsidP="002C6ACA">
            <w:pPr>
              <w:spacing w:before="60"/>
            </w:pPr>
            <w:r w:rsidRPr="00345AA8">
              <w:t>Participation in tendering is open on equal terms to natural and legal persons (participating either individually or in a grouping (consortium) of tenderers which are established in a Member State of the European Union, ACP States or in a country or territory authorised by the ACP_EC Partnership Agreement under which the contract is financed  (see also item 29 below). Participation is also open to international organisations.</w:t>
            </w:r>
          </w:p>
        </w:tc>
      </w:tr>
      <w:tr w:rsidR="002C6ACA" w:rsidRPr="00345AA8" w:rsidTr="002C6ACA">
        <w:trPr>
          <w:jc w:val="center"/>
        </w:trPr>
        <w:tc>
          <w:tcPr>
            <w:tcW w:w="1439" w:type="pct"/>
            <w:shd w:val="clear" w:color="auto" w:fill="E0E0E0"/>
          </w:tcPr>
          <w:p w:rsidR="002C6ACA" w:rsidRPr="00345AA8" w:rsidRDefault="002C6ACA" w:rsidP="002C6ACA">
            <w:pPr>
              <w:spacing w:before="60"/>
            </w:pPr>
            <w:r w:rsidRPr="00345AA8">
              <w:t>Tenderer’s Question</w:t>
            </w:r>
          </w:p>
        </w:tc>
        <w:tc>
          <w:tcPr>
            <w:tcW w:w="3561" w:type="pct"/>
          </w:tcPr>
          <w:p w:rsidR="002C6ACA" w:rsidRPr="00345AA8" w:rsidRDefault="002C6ACA" w:rsidP="002C6ACA">
            <w:r w:rsidRPr="00345AA8">
              <w:t>We failed to identify item 29 referenced in the above text. Please clarify what “item 29” refers to.</w:t>
            </w:r>
          </w:p>
        </w:tc>
      </w:tr>
      <w:tr w:rsidR="002C6ACA" w:rsidRPr="00345AA8" w:rsidTr="002C6ACA">
        <w:trPr>
          <w:jc w:val="center"/>
        </w:trPr>
        <w:tc>
          <w:tcPr>
            <w:tcW w:w="1439" w:type="pct"/>
            <w:shd w:val="clear" w:color="auto" w:fill="E0E0E0"/>
          </w:tcPr>
          <w:p w:rsidR="002C6ACA" w:rsidRPr="00345AA8" w:rsidRDefault="002C6ACA" w:rsidP="002C6ACA">
            <w:pPr>
              <w:spacing w:before="60"/>
            </w:pPr>
            <w:r w:rsidRPr="00D01CC1">
              <w:t>Answer</w:t>
            </w:r>
          </w:p>
        </w:tc>
        <w:tc>
          <w:tcPr>
            <w:tcW w:w="3561" w:type="pct"/>
          </w:tcPr>
          <w:p w:rsidR="002C6ACA" w:rsidRPr="00345AA8" w:rsidRDefault="00E8632E" w:rsidP="002C6ACA">
            <w:r w:rsidRPr="00345AA8">
              <w:t xml:space="preserve">The correct item is Item 22 Legal Basis. The statement will now read as: </w:t>
            </w:r>
          </w:p>
          <w:p w:rsidR="00E8632E" w:rsidRPr="00345AA8" w:rsidRDefault="00E8632E" w:rsidP="00E8632E">
            <w:pPr>
              <w:spacing w:line="276" w:lineRule="auto"/>
              <w:rPr>
                <w:b/>
                <w:lang w:eastAsia="el-GR"/>
              </w:rPr>
            </w:pPr>
            <w:r w:rsidRPr="00345AA8">
              <w:rPr>
                <w:b/>
                <w:lang w:eastAsia="el-GR"/>
              </w:rPr>
              <w:t>Participation in tendering is open  on equal terms to natural and legal persons (participating either individually or in a grouping (consortium) of tenderers which are established in a Member State of the European Union, ACP States or in a country or territory authorised by the ACP_EC Partnership Agreement under which the contract is financed  (see also item 22 below). Participation is also open to international organisations</w:t>
            </w:r>
          </w:p>
          <w:p w:rsidR="00B7553C" w:rsidRPr="00345AA8" w:rsidRDefault="00B7553C" w:rsidP="00E8632E">
            <w:pPr>
              <w:spacing w:line="276" w:lineRule="auto"/>
              <w:rPr>
                <w:b/>
                <w:lang w:eastAsia="el-GR"/>
              </w:rPr>
            </w:pPr>
            <w:r w:rsidRPr="00345AA8">
              <w:rPr>
                <w:b/>
                <w:lang w:eastAsia="el-GR"/>
              </w:rPr>
              <w:t>Please Refer to Corrigendum No 1 to Supply  Contract Notice</w:t>
            </w:r>
          </w:p>
          <w:p w:rsidR="00E8632E" w:rsidRPr="00345AA8" w:rsidRDefault="00E8632E" w:rsidP="002C6ACA"/>
        </w:tc>
      </w:tr>
    </w:tbl>
    <w:p w:rsidR="00010684" w:rsidRPr="00345AA8" w:rsidRDefault="00010684" w:rsidP="00010684">
      <w:pPr>
        <w:pStyle w:val="Clarification"/>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890"/>
      </w:tblGrid>
      <w:tr w:rsidR="00010684" w:rsidRPr="00345AA8" w:rsidTr="00010684">
        <w:trPr>
          <w:jc w:val="center"/>
        </w:trPr>
        <w:tc>
          <w:tcPr>
            <w:tcW w:w="1422" w:type="pct"/>
            <w:shd w:val="clear" w:color="auto" w:fill="E0E0E0"/>
          </w:tcPr>
          <w:p w:rsidR="00010684" w:rsidRPr="00345AA8" w:rsidRDefault="00010684" w:rsidP="00010684">
            <w:pPr>
              <w:spacing w:before="60"/>
            </w:pPr>
            <w:r w:rsidRPr="00345AA8">
              <w:t>Document/Section/Page Reference</w:t>
            </w:r>
          </w:p>
        </w:tc>
        <w:tc>
          <w:tcPr>
            <w:tcW w:w="3578" w:type="pct"/>
          </w:tcPr>
          <w:p w:rsidR="00010684" w:rsidRPr="00345AA8" w:rsidRDefault="00010684" w:rsidP="00D92DCC">
            <w:pPr>
              <w:spacing w:before="60"/>
            </w:pPr>
            <w:r w:rsidRPr="00345AA8">
              <w:t>Instructions to Tenderers, p</w:t>
            </w:r>
            <w:r w:rsidR="00D92DCC" w:rsidRPr="00345AA8">
              <w:t>.</w:t>
            </w:r>
            <w:r w:rsidRPr="00345AA8">
              <w:t>12</w:t>
            </w:r>
          </w:p>
        </w:tc>
      </w:tr>
      <w:tr w:rsidR="00010684" w:rsidRPr="00345AA8" w:rsidTr="00010684">
        <w:trPr>
          <w:jc w:val="center"/>
        </w:trPr>
        <w:tc>
          <w:tcPr>
            <w:tcW w:w="1422" w:type="pct"/>
            <w:shd w:val="clear" w:color="auto" w:fill="E0E0E0"/>
          </w:tcPr>
          <w:p w:rsidR="00010684" w:rsidRPr="00345AA8" w:rsidRDefault="00010684" w:rsidP="00010684">
            <w:pPr>
              <w:spacing w:before="60"/>
            </w:pPr>
            <w:r w:rsidRPr="00345AA8">
              <w:t>Topic in Document</w:t>
            </w:r>
          </w:p>
        </w:tc>
        <w:tc>
          <w:tcPr>
            <w:tcW w:w="3578" w:type="pct"/>
          </w:tcPr>
          <w:p w:rsidR="00010684" w:rsidRPr="00345AA8" w:rsidRDefault="00010684" w:rsidP="00010684">
            <w:pPr>
              <w:spacing w:before="60"/>
            </w:pPr>
            <w:r w:rsidRPr="00345AA8">
              <w:t>Deadline for requesting clarifications from the CARICOM Secretariat</w:t>
            </w:r>
          </w:p>
        </w:tc>
      </w:tr>
      <w:tr w:rsidR="00010684" w:rsidRPr="00345AA8" w:rsidTr="00010684">
        <w:trPr>
          <w:trHeight w:val="251"/>
          <w:jc w:val="center"/>
        </w:trPr>
        <w:tc>
          <w:tcPr>
            <w:tcW w:w="1422" w:type="pct"/>
            <w:shd w:val="clear" w:color="auto" w:fill="E0E0E0"/>
          </w:tcPr>
          <w:p w:rsidR="00010684" w:rsidRPr="00345AA8" w:rsidRDefault="00010684" w:rsidP="00010684">
            <w:pPr>
              <w:spacing w:before="60"/>
            </w:pPr>
            <w:r w:rsidRPr="00345AA8">
              <w:t>Passage in Document</w:t>
            </w:r>
          </w:p>
        </w:tc>
        <w:tc>
          <w:tcPr>
            <w:tcW w:w="3578" w:type="pct"/>
          </w:tcPr>
          <w:p w:rsidR="00010684" w:rsidRPr="00345AA8" w:rsidRDefault="00010684" w:rsidP="00010684">
            <w:pPr>
              <w:spacing w:before="60"/>
              <w:rPr>
                <w:i/>
              </w:rPr>
            </w:pPr>
            <w:r w:rsidRPr="00345AA8">
              <w:rPr>
                <w:i/>
              </w:rPr>
              <w:t>13 April, 2016</w:t>
            </w:r>
            <w:r w:rsidRPr="00345AA8">
              <w:rPr>
                <w:i/>
              </w:rPr>
              <w:tab/>
              <w:t>16:00 hrs</w:t>
            </w:r>
          </w:p>
        </w:tc>
      </w:tr>
      <w:tr w:rsidR="00010684" w:rsidRPr="00345AA8" w:rsidTr="00010684">
        <w:trPr>
          <w:jc w:val="center"/>
        </w:trPr>
        <w:tc>
          <w:tcPr>
            <w:tcW w:w="1422" w:type="pct"/>
            <w:shd w:val="clear" w:color="auto" w:fill="E0E0E0"/>
          </w:tcPr>
          <w:p w:rsidR="00010684" w:rsidRPr="00345AA8" w:rsidRDefault="00010684" w:rsidP="00010684">
            <w:pPr>
              <w:spacing w:before="60"/>
            </w:pPr>
            <w:r w:rsidRPr="00345AA8">
              <w:t>Tenderer’s Question</w:t>
            </w:r>
          </w:p>
        </w:tc>
        <w:tc>
          <w:tcPr>
            <w:tcW w:w="3578" w:type="pct"/>
          </w:tcPr>
          <w:p w:rsidR="00010684" w:rsidRPr="00345AA8" w:rsidRDefault="00010684" w:rsidP="00010684">
            <w:r w:rsidRPr="00345AA8">
              <w:t xml:space="preserve">As of April 13, deadline for clarification requests, CARICOM has not published any replies to previous questions raised by Tenderers. We kindly </w:t>
            </w:r>
            <w:r w:rsidRPr="00345AA8">
              <w:lastRenderedPageBreak/>
              <w:t xml:space="preserve">request an extension to the clarifications’ deadline to allow Tenderers to reflect on clarifications, when published. </w:t>
            </w:r>
          </w:p>
        </w:tc>
      </w:tr>
      <w:tr w:rsidR="000E50D4" w:rsidRPr="00345AA8" w:rsidTr="00010684">
        <w:trPr>
          <w:jc w:val="center"/>
        </w:trPr>
        <w:tc>
          <w:tcPr>
            <w:tcW w:w="1422" w:type="pct"/>
            <w:shd w:val="clear" w:color="auto" w:fill="E0E0E0"/>
          </w:tcPr>
          <w:p w:rsidR="000E50D4" w:rsidRPr="00345AA8" w:rsidRDefault="000E50D4" w:rsidP="00010684">
            <w:pPr>
              <w:spacing w:before="60"/>
            </w:pPr>
            <w:r w:rsidRPr="00D01CC1">
              <w:lastRenderedPageBreak/>
              <w:t>Answer</w:t>
            </w:r>
          </w:p>
        </w:tc>
        <w:tc>
          <w:tcPr>
            <w:tcW w:w="3578" w:type="pct"/>
          </w:tcPr>
          <w:p w:rsidR="000E50D4" w:rsidRPr="00345AA8" w:rsidRDefault="00E8632E" w:rsidP="00B7553C">
            <w:r w:rsidRPr="00345AA8">
              <w:t>Please refer to the corrigendum</w:t>
            </w:r>
            <w:r w:rsidR="00B7553C" w:rsidRPr="00345AA8">
              <w:t xml:space="preserve"> No 1 </w:t>
            </w:r>
            <w:r w:rsidRPr="00345AA8">
              <w:t>to Supply Contract notice for an amended timetable</w:t>
            </w:r>
          </w:p>
        </w:tc>
      </w:tr>
    </w:tbl>
    <w:p w:rsidR="00010684" w:rsidRPr="00345AA8" w:rsidRDefault="00010684" w:rsidP="00010684">
      <w:pPr>
        <w:pStyle w:val="Clarification"/>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010684" w:rsidRPr="00345AA8" w:rsidTr="00010684">
        <w:trPr>
          <w:jc w:val="center"/>
        </w:trPr>
        <w:tc>
          <w:tcPr>
            <w:tcW w:w="1439" w:type="pct"/>
            <w:shd w:val="clear" w:color="auto" w:fill="E0E0E0"/>
          </w:tcPr>
          <w:p w:rsidR="00010684" w:rsidRPr="00345AA8" w:rsidRDefault="00010684" w:rsidP="00010684">
            <w:pPr>
              <w:spacing w:before="60"/>
            </w:pPr>
            <w:r w:rsidRPr="00345AA8">
              <w:t>Document/Section/Page Reference</w:t>
            </w:r>
          </w:p>
        </w:tc>
        <w:tc>
          <w:tcPr>
            <w:tcW w:w="3561" w:type="pct"/>
          </w:tcPr>
          <w:p w:rsidR="00010684" w:rsidRPr="00345AA8" w:rsidRDefault="00010684" w:rsidP="00010684">
            <w:pPr>
              <w:spacing w:before="60"/>
            </w:pPr>
            <w:r w:rsidRPr="00345AA8">
              <w:t>Instructions to Tenderers Equipment Final/Section 3/p.12</w:t>
            </w:r>
          </w:p>
        </w:tc>
      </w:tr>
      <w:tr w:rsidR="00010684" w:rsidRPr="00345AA8" w:rsidTr="00010684">
        <w:trPr>
          <w:jc w:val="center"/>
        </w:trPr>
        <w:tc>
          <w:tcPr>
            <w:tcW w:w="1439" w:type="pct"/>
            <w:shd w:val="clear" w:color="auto" w:fill="E0E0E0"/>
          </w:tcPr>
          <w:p w:rsidR="00010684" w:rsidRPr="00345AA8" w:rsidRDefault="00010684" w:rsidP="00010684">
            <w:pPr>
              <w:spacing w:before="60"/>
            </w:pPr>
            <w:r w:rsidRPr="00345AA8">
              <w:t>Topic in Document</w:t>
            </w:r>
          </w:p>
        </w:tc>
        <w:tc>
          <w:tcPr>
            <w:tcW w:w="3561" w:type="pct"/>
          </w:tcPr>
          <w:p w:rsidR="00010684" w:rsidRPr="00345AA8" w:rsidRDefault="00010684" w:rsidP="00010684">
            <w:pPr>
              <w:spacing w:before="60"/>
            </w:pPr>
            <w:r w:rsidRPr="00345AA8">
              <w:t>Participation</w:t>
            </w:r>
          </w:p>
        </w:tc>
      </w:tr>
      <w:tr w:rsidR="00010684" w:rsidRPr="00345AA8" w:rsidTr="00010684">
        <w:trPr>
          <w:trHeight w:val="251"/>
          <w:jc w:val="center"/>
        </w:trPr>
        <w:tc>
          <w:tcPr>
            <w:tcW w:w="1439" w:type="pct"/>
            <w:shd w:val="clear" w:color="auto" w:fill="E0E0E0"/>
          </w:tcPr>
          <w:p w:rsidR="00010684" w:rsidRPr="00345AA8" w:rsidRDefault="00010684" w:rsidP="00010684">
            <w:pPr>
              <w:spacing w:before="60"/>
            </w:pPr>
            <w:r w:rsidRPr="00345AA8">
              <w:t>Passage in Document</w:t>
            </w:r>
          </w:p>
        </w:tc>
        <w:tc>
          <w:tcPr>
            <w:tcW w:w="3561" w:type="pct"/>
          </w:tcPr>
          <w:p w:rsidR="00010684" w:rsidRPr="00345AA8" w:rsidRDefault="00010684" w:rsidP="00010684">
            <w:pPr>
              <w:spacing w:before="60"/>
            </w:pPr>
            <w:r w:rsidRPr="00345AA8">
              <w:t>3.1</w:t>
            </w:r>
            <w:r w:rsidRPr="00345AA8">
              <w:tab/>
              <w:t xml:space="preserve"> Participation is open to all natural persons and legal persons [participating either individually or in a grouping (consortium) of tenderers of any nationality.  Participation is also open to international organisations. </w:t>
            </w:r>
          </w:p>
          <w:p w:rsidR="00010684" w:rsidRPr="00345AA8" w:rsidRDefault="00010684" w:rsidP="00010684">
            <w:pPr>
              <w:spacing w:before="60"/>
            </w:pPr>
            <w:r w:rsidRPr="00345AA8">
              <w:t>3.2</w:t>
            </w:r>
            <w:r w:rsidRPr="00345AA8">
              <w:tab/>
              <w:t>Tendering is open on equal terms to natural and legal persons (participating either individually or in a grouping – consortium - of tenderers) which are established in one of the Member States of the European Union, an ACP State or in a country or territory authorised by the ACP-EC Partnership Agreement under which the contract is financed. Tendering is also open to international organisations.</w:t>
            </w:r>
          </w:p>
        </w:tc>
      </w:tr>
      <w:tr w:rsidR="00010684" w:rsidRPr="00345AA8" w:rsidTr="00010684">
        <w:trPr>
          <w:jc w:val="center"/>
        </w:trPr>
        <w:tc>
          <w:tcPr>
            <w:tcW w:w="1439" w:type="pct"/>
            <w:shd w:val="clear" w:color="auto" w:fill="E0E0E0"/>
          </w:tcPr>
          <w:p w:rsidR="00010684" w:rsidRPr="00345AA8" w:rsidRDefault="00010684" w:rsidP="00010684">
            <w:pPr>
              <w:spacing w:before="60"/>
            </w:pPr>
            <w:r w:rsidRPr="00345AA8">
              <w:t>Tenderer’s Question</w:t>
            </w:r>
          </w:p>
        </w:tc>
        <w:tc>
          <w:tcPr>
            <w:tcW w:w="3561" w:type="pct"/>
          </w:tcPr>
          <w:p w:rsidR="00010684" w:rsidRPr="00345AA8" w:rsidRDefault="00010684" w:rsidP="00010684">
            <w:r w:rsidRPr="00345AA8">
              <w:t>It seems that paragraphs 3.1 and 3.2 contradict each other. We understand that in alignment with the Contract Notice paragraph 8, paragraph 3.1 should be removed. Please confirm.</w:t>
            </w:r>
          </w:p>
        </w:tc>
      </w:tr>
      <w:tr w:rsidR="00010684" w:rsidRPr="00345AA8" w:rsidTr="00010684">
        <w:trPr>
          <w:jc w:val="center"/>
        </w:trPr>
        <w:tc>
          <w:tcPr>
            <w:tcW w:w="1439" w:type="pct"/>
            <w:shd w:val="clear" w:color="auto" w:fill="E0E0E0"/>
          </w:tcPr>
          <w:p w:rsidR="00010684" w:rsidRPr="00345AA8" w:rsidRDefault="00010684" w:rsidP="00010684">
            <w:pPr>
              <w:spacing w:before="60"/>
            </w:pPr>
            <w:r w:rsidRPr="00D01CC1">
              <w:t>Answer</w:t>
            </w:r>
          </w:p>
        </w:tc>
        <w:tc>
          <w:tcPr>
            <w:tcW w:w="3561" w:type="pct"/>
          </w:tcPr>
          <w:p w:rsidR="00010684" w:rsidRPr="00345AA8" w:rsidRDefault="00E8632E" w:rsidP="00010684">
            <w:r w:rsidRPr="00345AA8">
              <w:t xml:space="preserve">Please see corrigendum </w:t>
            </w:r>
            <w:r w:rsidR="00B7553C" w:rsidRPr="00345AA8">
              <w:t xml:space="preserve"> No 1 </w:t>
            </w:r>
            <w:r w:rsidRPr="00345AA8">
              <w:t>to Instructions to Tenderers</w:t>
            </w:r>
          </w:p>
        </w:tc>
      </w:tr>
    </w:tbl>
    <w:p w:rsidR="00010684" w:rsidRPr="00345AA8" w:rsidRDefault="00010684" w:rsidP="00010684">
      <w:pPr>
        <w:pStyle w:val="Clarification"/>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890"/>
      </w:tblGrid>
      <w:tr w:rsidR="00A758D7" w:rsidRPr="00345AA8" w:rsidTr="002C6ACA">
        <w:trPr>
          <w:jc w:val="center"/>
        </w:trPr>
        <w:tc>
          <w:tcPr>
            <w:tcW w:w="1422" w:type="pct"/>
            <w:shd w:val="clear" w:color="auto" w:fill="E0E0E0"/>
          </w:tcPr>
          <w:p w:rsidR="00A758D7" w:rsidRPr="00345AA8" w:rsidRDefault="00A758D7" w:rsidP="00A758D7">
            <w:pPr>
              <w:spacing w:before="60"/>
            </w:pPr>
            <w:r w:rsidRPr="00345AA8">
              <w:t>Document/Section/Page Reference</w:t>
            </w:r>
          </w:p>
        </w:tc>
        <w:tc>
          <w:tcPr>
            <w:tcW w:w="3578" w:type="pct"/>
          </w:tcPr>
          <w:p w:rsidR="00A758D7" w:rsidRPr="00345AA8" w:rsidRDefault="00010684" w:rsidP="00A758D7">
            <w:pPr>
              <w:spacing w:before="60"/>
            </w:pPr>
            <w:r w:rsidRPr="00345AA8">
              <w:t xml:space="preserve">Instructions to Tenderers </w:t>
            </w:r>
            <w:r w:rsidR="00A758D7" w:rsidRPr="00345AA8">
              <w:t>/ page 16</w:t>
            </w:r>
          </w:p>
        </w:tc>
      </w:tr>
      <w:tr w:rsidR="00A758D7" w:rsidRPr="00345AA8" w:rsidTr="002C6ACA">
        <w:trPr>
          <w:jc w:val="center"/>
        </w:trPr>
        <w:tc>
          <w:tcPr>
            <w:tcW w:w="1422" w:type="pct"/>
            <w:shd w:val="clear" w:color="auto" w:fill="E0E0E0"/>
          </w:tcPr>
          <w:p w:rsidR="00A758D7" w:rsidRPr="00345AA8" w:rsidRDefault="00A758D7" w:rsidP="00A758D7">
            <w:pPr>
              <w:spacing w:before="60"/>
            </w:pPr>
            <w:r w:rsidRPr="00345AA8">
              <w:t>Topic in Document</w:t>
            </w:r>
          </w:p>
        </w:tc>
        <w:tc>
          <w:tcPr>
            <w:tcW w:w="3578" w:type="pct"/>
          </w:tcPr>
          <w:p w:rsidR="00A758D7" w:rsidRPr="00345AA8" w:rsidRDefault="00A758D7" w:rsidP="00A758D7">
            <w:pPr>
              <w:spacing w:before="60"/>
            </w:pPr>
            <w:r w:rsidRPr="00345AA8">
              <w:t>Part 1: Technical offer</w:t>
            </w:r>
          </w:p>
        </w:tc>
      </w:tr>
      <w:tr w:rsidR="00A758D7" w:rsidRPr="00345AA8" w:rsidTr="002C6ACA">
        <w:trPr>
          <w:trHeight w:val="251"/>
          <w:jc w:val="center"/>
        </w:trPr>
        <w:tc>
          <w:tcPr>
            <w:tcW w:w="1422" w:type="pct"/>
            <w:shd w:val="clear" w:color="auto" w:fill="E0E0E0"/>
          </w:tcPr>
          <w:p w:rsidR="00A758D7" w:rsidRPr="00345AA8" w:rsidRDefault="00A758D7" w:rsidP="00A758D7">
            <w:pPr>
              <w:spacing w:before="60"/>
            </w:pPr>
            <w:r w:rsidRPr="00345AA8">
              <w:t>Passage in Document</w:t>
            </w:r>
          </w:p>
        </w:tc>
        <w:tc>
          <w:tcPr>
            <w:tcW w:w="3578" w:type="pct"/>
          </w:tcPr>
          <w:p w:rsidR="00A758D7" w:rsidRPr="00345AA8" w:rsidRDefault="004A5009" w:rsidP="00A758D7">
            <w:pPr>
              <w:spacing w:before="60"/>
            </w:pPr>
            <w:r w:rsidRPr="00345AA8">
              <w:t>T</w:t>
            </w:r>
            <w:r w:rsidR="00A758D7" w:rsidRPr="00345AA8">
              <w:t>echnical proposals related to ancillary services</w:t>
            </w:r>
          </w:p>
        </w:tc>
      </w:tr>
      <w:tr w:rsidR="00A758D7" w:rsidRPr="00345AA8" w:rsidTr="002C6ACA">
        <w:trPr>
          <w:jc w:val="center"/>
        </w:trPr>
        <w:tc>
          <w:tcPr>
            <w:tcW w:w="1422" w:type="pct"/>
            <w:shd w:val="clear" w:color="auto" w:fill="E0E0E0"/>
          </w:tcPr>
          <w:p w:rsidR="00A758D7" w:rsidRPr="00345AA8" w:rsidRDefault="00A758D7" w:rsidP="00A758D7">
            <w:pPr>
              <w:spacing w:before="60"/>
            </w:pPr>
            <w:r w:rsidRPr="00345AA8">
              <w:t>Tenderer’s Question</w:t>
            </w:r>
          </w:p>
        </w:tc>
        <w:tc>
          <w:tcPr>
            <w:tcW w:w="3578" w:type="pct"/>
          </w:tcPr>
          <w:p w:rsidR="00A758D7" w:rsidRPr="00345AA8" w:rsidRDefault="00A758D7" w:rsidP="00A758D7">
            <w:r w:rsidRPr="00345AA8">
              <w:t xml:space="preserve">1. Please define “ancillary services” for Lot 1. </w:t>
            </w:r>
          </w:p>
          <w:p w:rsidR="00A758D7" w:rsidRPr="00345AA8" w:rsidRDefault="00A758D7" w:rsidP="00A758D7">
            <w:r w:rsidRPr="00345AA8">
              <w:t>2. Are services such as the following considered ancillary services for Lot 1 (we also refer to Annex II and III – Technical Specifications pages 3-4)?</w:t>
            </w:r>
          </w:p>
          <w:p w:rsidR="00A758D7" w:rsidRPr="00345AA8" w:rsidRDefault="00A758D7" w:rsidP="00A758D7">
            <w:r w:rsidRPr="00345AA8">
              <w:t>- Set up of infrastructure</w:t>
            </w:r>
          </w:p>
          <w:p w:rsidR="00A758D7" w:rsidRPr="00345AA8" w:rsidRDefault="00A758D7" w:rsidP="00A758D7">
            <w:r w:rsidRPr="00345AA8">
              <w:t>- Delivery and Installation of HW</w:t>
            </w:r>
          </w:p>
          <w:p w:rsidR="00A758D7" w:rsidRPr="00345AA8" w:rsidRDefault="00A758D7" w:rsidP="00A758D7">
            <w:r w:rsidRPr="00345AA8">
              <w:t>- Development and Installation of SW</w:t>
            </w:r>
          </w:p>
          <w:p w:rsidR="00A758D7" w:rsidRPr="00345AA8" w:rsidRDefault="00A758D7" w:rsidP="00A758D7">
            <w:r w:rsidRPr="00345AA8">
              <w:t>- Testing and fine-tuning</w:t>
            </w:r>
          </w:p>
          <w:p w:rsidR="00A758D7" w:rsidRPr="00345AA8" w:rsidRDefault="00A758D7" w:rsidP="00A758D7">
            <w:r w:rsidRPr="00345AA8">
              <w:t>- Development of national notice boards</w:t>
            </w:r>
          </w:p>
          <w:p w:rsidR="00A758D7" w:rsidRPr="00345AA8" w:rsidRDefault="00A758D7" w:rsidP="00A758D7">
            <w:r w:rsidRPr="00345AA8">
              <w:t>- Interoperability with existing platforms</w:t>
            </w:r>
          </w:p>
        </w:tc>
      </w:tr>
      <w:tr w:rsidR="00A758D7" w:rsidRPr="00345AA8" w:rsidTr="002C6ACA">
        <w:trPr>
          <w:jc w:val="center"/>
        </w:trPr>
        <w:tc>
          <w:tcPr>
            <w:tcW w:w="1422" w:type="pct"/>
            <w:shd w:val="clear" w:color="auto" w:fill="E0E0E0"/>
          </w:tcPr>
          <w:p w:rsidR="00A758D7" w:rsidRPr="00345AA8" w:rsidRDefault="00A758D7" w:rsidP="00A758D7">
            <w:pPr>
              <w:spacing w:before="60"/>
            </w:pPr>
            <w:r w:rsidRPr="00890E50">
              <w:t>Answer</w:t>
            </w:r>
          </w:p>
        </w:tc>
        <w:tc>
          <w:tcPr>
            <w:tcW w:w="3578" w:type="pct"/>
          </w:tcPr>
          <w:p w:rsidR="00890E50" w:rsidRPr="00890E50" w:rsidRDefault="00890E50" w:rsidP="00F71DFF">
            <w:r w:rsidRPr="00890E50">
              <w:t>Ancillary services are defined as:</w:t>
            </w:r>
          </w:p>
          <w:p w:rsidR="00890E50" w:rsidRDefault="00890E50" w:rsidP="00F71DFF">
            <w:r w:rsidRPr="00890E50">
              <w:t>All related services which the Contractor is required to implement in a supply contract in addition to deliver the goods procured. Where they are necessary they are specified in the contract and may include for example services such as unloading, installation, testing, commissioning, provision of expertise, supervision, maintenance, repair, training and other such obligations connected with the goods to be provided under the contract</w:t>
            </w:r>
            <w:r>
              <w:t>.</w:t>
            </w:r>
          </w:p>
          <w:p w:rsidR="00F71DFF" w:rsidRPr="00345AA8" w:rsidRDefault="00890E50" w:rsidP="00F71DFF">
            <w:pPr>
              <w:rPr>
                <w:highlight w:val="red"/>
              </w:rPr>
            </w:pPr>
            <w:r>
              <w:t>In the case of Lot 1, this includes:</w:t>
            </w:r>
          </w:p>
          <w:p w:rsidR="00F71DFF" w:rsidRPr="00890E50" w:rsidRDefault="00F71DFF" w:rsidP="00F71DFF">
            <w:r w:rsidRPr="00890E50">
              <w:t>- Set up of infrastructure – included in Item 1.20</w:t>
            </w:r>
          </w:p>
          <w:p w:rsidR="00F71DFF" w:rsidRPr="00890E50" w:rsidRDefault="00F71DFF" w:rsidP="00F71DFF">
            <w:r w:rsidRPr="00890E50">
              <w:t>- Delivery and Installation of HW – included in Item 1.20</w:t>
            </w:r>
          </w:p>
          <w:p w:rsidR="00F71DFF" w:rsidRPr="00890E50" w:rsidRDefault="00F71DFF" w:rsidP="00F71DFF">
            <w:r w:rsidRPr="00890E50">
              <w:lastRenderedPageBreak/>
              <w:t>- Development and Installation of SW – included in Item 1.20</w:t>
            </w:r>
          </w:p>
          <w:p w:rsidR="00F71DFF" w:rsidRPr="00890E50" w:rsidRDefault="00F71DFF" w:rsidP="00F71DFF">
            <w:r w:rsidRPr="00890E50">
              <w:t>- Testing and fine-tuning - included in Item 1.20</w:t>
            </w:r>
          </w:p>
          <w:p w:rsidR="00F71DFF" w:rsidRPr="00890E50" w:rsidRDefault="00F71DFF" w:rsidP="00F71DFF">
            <w:r w:rsidRPr="00890E50">
              <w:t>- Development of national notice boards – included in Item 1.19</w:t>
            </w:r>
          </w:p>
          <w:p w:rsidR="00A758D7" w:rsidRPr="00345AA8" w:rsidRDefault="00F71DFF" w:rsidP="00A758D7">
            <w:r w:rsidRPr="00890E50">
              <w:t>- Interoperability with existing platforms – included in Item 1.19</w:t>
            </w:r>
          </w:p>
        </w:tc>
      </w:tr>
    </w:tbl>
    <w:p w:rsidR="00A758D7" w:rsidRPr="00345AA8" w:rsidRDefault="00A758D7" w:rsidP="00A758D7">
      <w:pPr>
        <w:pStyle w:val="Clarification"/>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890"/>
      </w:tblGrid>
      <w:tr w:rsidR="00A758D7" w:rsidRPr="00345AA8" w:rsidTr="002C6ACA">
        <w:trPr>
          <w:jc w:val="center"/>
        </w:trPr>
        <w:tc>
          <w:tcPr>
            <w:tcW w:w="1422" w:type="pct"/>
            <w:shd w:val="clear" w:color="auto" w:fill="E0E0E0"/>
          </w:tcPr>
          <w:p w:rsidR="00A758D7" w:rsidRPr="00345AA8" w:rsidRDefault="00A758D7" w:rsidP="00A758D7">
            <w:pPr>
              <w:spacing w:before="60"/>
            </w:pPr>
            <w:r w:rsidRPr="00345AA8">
              <w:t>Document/Section/Page Reference</w:t>
            </w:r>
          </w:p>
        </w:tc>
        <w:tc>
          <w:tcPr>
            <w:tcW w:w="3578" w:type="pct"/>
          </w:tcPr>
          <w:p w:rsidR="00A758D7" w:rsidRPr="00345AA8" w:rsidRDefault="004A5009" w:rsidP="00A758D7">
            <w:pPr>
              <w:spacing w:before="60"/>
            </w:pPr>
            <w:r w:rsidRPr="00345AA8">
              <w:t>ANNEX IV</w:t>
            </w:r>
            <w:r w:rsidR="00A758D7" w:rsidRPr="00345AA8">
              <w:t>: Budget breakdown</w:t>
            </w:r>
          </w:p>
        </w:tc>
      </w:tr>
      <w:tr w:rsidR="00A758D7" w:rsidRPr="00345AA8" w:rsidTr="002C6ACA">
        <w:trPr>
          <w:jc w:val="center"/>
        </w:trPr>
        <w:tc>
          <w:tcPr>
            <w:tcW w:w="1422" w:type="pct"/>
            <w:shd w:val="clear" w:color="auto" w:fill="E0E0E0"/>
          </w:tcPr>
          <w:p w:rsidR="00A758D7" w:rsidRPr="00345AA8" w:rsidRDefault="00A758D7" w:rsidP="00A758D7">
            <w:pPr>
              <w:spacing w:before="60"/>
            </w:pPr>
            <w:r w:rsidRPr="00345AA8">
              <w:t>Topic in Document</w:t>
            </w:r>
          </w:p>
        </w:tc>
        <w:tc>
          <w:tcPr>
            <w:tcW w:w="3578" w:type="pct"/>
          </w:tcPr>
          <w:p w:rsidR="00A758D7" w:rsidRPr="00345AA8" w:rsidRDefault="00A758D7" w:rsidP="00A758D7">
            <w:pPr>
              <w:spacing w:before="60"/>
            </w:pPr>
            <w:r w:rsidRPr="00345AA8">
              <w:t>Other Services</w:t>
            </w:r>
          </w:p>
        </w:tc>
      </w:tr>
      <w:tr w:rsidR="00A758D7" w:rsidRPr="00345AA8" w:rsidTr="002C6ACA">
        <w:trPr>
          <w:trHeight w:val="251"/>
          <w:jc w:val="center"/>
        </w:trPr>
        <w:tc>
          <w:tcPr>
            <w:tcW w:w="1422" w:type="pct"/>
            <w:shd w:val="clear" w:color="auto" w:fill="E0E0E0"/>
          </w:tcPr>
          <w:p w:rsidR="00A758D7" w:rsidRPr="00345AA8" w:rsidRDefault="00A758D7" w:rsidP="00A758D7">
            <w:pPr>
              <w:spacing w:before="60"/>
            </w:pPr>
            <w:r w:rsidRPr="00345AA8">
              <w:t>Passage in Document</w:t>
            </w:r>
          </w:p>
        </w:tc>
        <w:tc>
          <w:tcPr>
            <w:tcW w:w="3578" w:type="pct"/>
          </w:tcPr>
          <w:p w:rsidR="00A758D7" w:rsidRPr="00345AA8" w:rsidRDefault="00A758D7" w:rsidP="00A758D7">
            <w:pPr>
              <w:spacing w:before="60"/>
              <w:rPr>
                <w:i/>
              </w:rPr>
            </w:pPr>
            <w:r w:rsidRPr="00345AA8">
              <w:t>[Other services] / [Lump sum]</w:t>
            </w:r>
          </w:p>
        </w:tc>
      </w:tr>
      <w:tr w:rsidR="00A758D7" w:rsidRPr="00345AA8" w:rsidTr="002C6ACA">
        <w:trPr>
          <w:jc w:val="center"/>
        </w:trPr>
        <w:tc>
          <w:tcPr>
            <w:tcW w:w="1422" w:type="pct"/>
            <w:shd w:val="clear" w:color="auto" w:fill="E0E0E0"/>
          </w:tcPr>
          <w:p w:rsidR="00A758D7" w:rsidRPr="00345AA8" w:rsidRDefault="00A758D7" w:rsidP="00A758D7">
            <w:pPr>
              <w:spacing w:before="60"/>
            </w:pPr>
            <w:r w:rsidRPr="00345AA8">
              <w:t>Tenderer’s Question</w:t>
            </w:r>
          </w:p>
        </w:tc>
        <w:tc>
          <w:tcPr>
            <w:tcW w:w="3578" w:type="pct"/>
          </w:tcPr>
          <w:p w:rsidR="00A758D7" w:rsidRPr="00345AA8" w:rsidRDefault="004A5009" w:rsidP="00A758D7">
            <w:r w:rsidRPr="00345AA8">
              <w:t xml:space="preserve">1. </w:t>
            </w:r>
            <w:r w:rsidR="00A758D7" w:rsidRPr="00345AA8">
              <w:t>Please define “Other Services” for Lot 1.</w:t>
            </w:r>
          </w:p>
          <w:p w:rsidR="00A758D7" w:rsidRPr="00345AA8" w:rsidRDefault="00A758D7" w:rsidP="00A758D7">
            <w:r w:rsidRPr="00345AA8">
              <w:t>2. Are services such as the following considered “Other Services” for Lot 1 (we also refer to Annex II and III – Technical Specifications pages 3-4)?</w:t>
            </w:r>
          </w:p>
          <w:p w:rsidR="00A758D7" w:rsidRPr="00345AA8" w:rsidRDefault="00A758D7" w:rsidP="00A758D7">
            <w:r w:rsidRPr="00345AA8">
              <w:t>- Set up of infrastructure</w:t>
            </w:r>
          </w:p>
          <w:p w:rsidR="00A758D7" w:rsidRPr="00345AA8" w:rsidRDefault="00A758D7" w:rsidP="00A758D7">
            <w:r w:rsidRPr="00345AA8">
              <w:t xml:space="preserve">- </w:t>
            </w:r>
            <w:r w:rsidR="004A5009" w:rsidRPr="00345AA8">
              <w:t xml:space="preserve">Delivery </w:t>
            </w:r>
            <w:r w:rsidRPr="00345AA8">
              <w:t>and Installation of HW</w:t>
            </w:r>
          </w:p>
          <w:p w:rsidR="00A758D7" w:rsidRPr="00345AA8" w:rsidRDefault="00A758D7" w:rsidP="00A758D7">
            <w:r w:rsidRPr="00345AA8">
              <w:t>- Development and Installation of SW</w:t>
            </w:r>
          </w:p>
          <w:p w:rsidR="00A758D7" w:rsidRPr="00345AA8" w:rsidRDefault="00A758D7" w:rsidP="00A758D7">
            <w:r w:rsidRPr="00345AA8">
              <w:t>- Testing and fine-tuning</w:t>
            </w:r>
          </w:p>
          <w:p w:rsidR="00A758D7" w:rsidRPr="00345AA8" w:rsidRDefault="00A758D7" w:rsidP="00A758D7">
            <w:r w:rsidRPr="00345AA8">
              <w:t>- Development of national notice boards</w:t>
            </w:r>
          </w:p>
          <w:p w:rsidR="00A758D7" w:rsidRPr="00345AA8" w:rsidRDefault="00A758D7" w:rsidP="00A758D7">
            <w:r w:rsidRPr="00345AA8">
              <w:t>- Interoperability with existing platforms</w:t>
            </w:r>
          </w:p>
          <w:p w:rsidR="00A758D7" w:rsidRPr="00345AA8" w:rsidRDefault="00A758D7" w:rsidP="00A758D7">
            <w:r w:rsidRPr="00345AA8">
              <w:t>3. Should bidders provide a separate item per each one of the “other services” or does CARICOM require a single lump sum quotation for the entire set of “other services” for Lot 1?</w:t>
            </w:r>
          </w:p>
        </w:tc>
      </w:tr>
      <w:tr w:rsidR="004A5009" w:rsidRPr="00345AA8" w:rsidTr="002C6ACA">
        <w:trPr>
          <w:jc w:val="center"/>
        </w:trPr>
        <w:tc>
          <w:tcPr>
            <w:tcW w:w="1422" w:type="pct"/>
            <w:shd w:val="clear" w:color="auto" w:fill="E0E0E0"/>
          </w:tcPr>
          <w:p w:rsidR="004A5009" w:rsidRPr="00890E50" w:rsidRDefault="004A5009" w:rsidP="00A758D7">
            <w:pPr>
              <w:spacing w:before="60"/>
            </w:pPr>
            <w:r w:rsidRPr="00890E50">
              <w:t>Answer</w:t>
            </w:r>
          </w:p>
        </w:tc>
        <w:tc>
          <w:tcPr>
            <w:tcW w:w="3578" w:type="pct"/>
          </w:tcPr>
          <w:p w:rsidR="00890E50" w:rsidRPr="00890E50" w:rsidRDefault="00890E50" w:rsidP="00890E50">
            <w:r>
              <w:t>For the purposes of this tender, Other Services are deemed to be equivalent in meaning to Ancillary services described above</w:t>
            </w:r>
          </w:p>
          <w:p w:rsidR="004A5009" w:rsidRPr="00890E50" w:rsidRDefault="004A5009" w:rsidP="00F71DFF"/>
        </w:tc>
      </w:tr>
    </w:tbl>
    <w:p w:rsidR="00A758D7" w:rsidRPr="00345AA8" w:rsidRDefault="00A758D7" w:rsidP="00A758D7">
      <w:pPr>
        <w:pStyle w:val="Clarification"/>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890"/>
      </w:tblGrid>
      <w:tr w:rsidR="00A758D7" w:rsidRPr="00345AA8" w:rsidTr="002C6ACA">
        <w:trPr>
          <w:jc w:val="center"/>
        </w:trPr>
        <w:tc>
          <w:tcPr>
            <w:tcW w:w="1422" w:type="pct"/>
            <w:shd w:val="clear" w:color="auto" w:fill="E0E0E0"/>
          </w:tcPr>
          <w:p w:rsidR="00A758D7" w:rsidRPr="00345AA8" w:rsidRDefault="00A758D7" w:rsidP="00A758D7">
            <w:pPr>
              <w:spacing w:before="60"/>
            </w:pPr>
            <w:r w:rsidRPr="00345AA8">
              <w:t>Document/Section/Page Reference</w:t>
            </w:r>
          </w:p>
        </w:tc>
        <w:tc>
          <w:tcPr>
            <w:tcW w:w="3578" w:type="pct"/>
          </w:tcPr>
          <w:p w:rsidR="00A758D7" w:rsidRPr="00345AA8" w:rsidRDefault="004A5009" w:rsidP="00A758D7">
            <w:pPr>
              <w:spacing w:before="60"/>
            </w:pPr>
            <w:r w:rsidRPr="00345AA8">
              <w:t>ANNEX IV</w:t>
            </w:r>
            <w:r w:rsidR="00A758D7" w:rsidRPr="00345AA8">
              <w:t>: Budget breakdown</w:t>
            </w:r>
          </w:p>
        </w:tc>
      </w:tr>
      <w:tr w:rsidR="00A758D7" w:rsidRPr="00345AA8" w:rsidTr="002C6ACA">
        <w:trPr>
          <w:jc w:val="center"/>
        </w:trPr>
        <w:tc>
          <w:tcPr>
            <w:tcW w:w="1422" w:type="pct"/>
            <w:shd w:val="clear" w:color="auto" w:fill="E0E0E0"/>
          </w:tcPr>
          <w:p w:rsidR="00A758D7" w:rsidRPr="00345AA8" w:rsidRDefault="00A758D7" w:rsidP="00A758D7">
            <w:pPr>
              <w:spacing w:before="60"/>
            </w:pPr>
            <w:r w:rsidRPr="00345AA8">
              <w:t>Topic in Document</w:t>
            </w:r>
          </w:p>
        </w:tc>
        <w:tc>
          <w:tcPr>
            <w:tcW w:w="3578" w:type="pct"/>
          </w:tcPr>
          <w:p w:rsidR="00A758D7" w:rsidRPr="00345AA8" w:rsidRDefault="00A758D7" w:rsidP="00A758D7">
            <w:pPr>
              <w:spacing w:before="60"/>
            </w:pPr>
            <w:r w:rsidRPr="00345AA8">
              <w:t>Annex</w:t>
            </w:r>
          </w:p>
        </w:tc>
      </w:tr>
      <w:tr w:rsidR="00A758D7" w:rsidRPr="00345AA8" w:rsidTr="002C6ACA">
        <w:trPr>
          <w:trHeight w:val="251"/>
          <w:jc w:val="center"/>
        </w:trPr>
        <w:tc>
          <w:tcPr>
            <w:tcW w:w="1422" w:type="pct"/>
            <w:shd w:val="clear" w:color="auto" w:fill="E0E0E0"/>
          </w:tcPr>
          <w:p w:rsidR="00A758D7" w:rsidRPr="00345AA8" w:rsidRDefault="00A758D7" w:rsidP="00A758D7">
            <w:pPr>
              <w:spacing w:before="60"/>
            </w:pPr>
            <w:r w:rsidRPr="00345AA8">
              <w:t>Passage in Document</w:t>
            </w:r>
          </w:p>
        </w:tc>
        <w:tc>
          <w:tcPr>
            <w:tcW w:w="3578" w:type="pct"/>
          </w:tcPr>
          <w:p w:rsidR="00A758D7" w:rsidRPr="00345AA8" w:rsidRDefault="00A758D7" w:rsidP="00A758D7">
            <w:pPr>
              <w:spacing w:before="60"/>
            </w:pPr>
            <w:r w:rsidRPr="00345AA8">
              <w:t>[Spare parts with detailed annex including unit prices]</w:t>
            </w:r>
          </w:p>
          <w:p w:rsidR="00A758D7" w:rsidRPr="00345AA8" w:rsidRDefault="00A758D7" w:rsidP="00A758D7">
            <w:pPr>
              <w:spacing w:before="60"/>
            </w:pPr>
            <w:r w:rsidRPr="00345AA8">
              <w:t>[Consumables with detailed annex including unit prices]</w:t>
            </w:r>
          </w:p>
          <w:p w:rsidR="00A758D7" w:rsidRPr="00345AA8" w:rsidRDefault="00A758D7" w:rsidP="00A758D7">
            <w:pPr>
              <w:spacing w:before="60"/>
              <w:rPr>
                <w:i/>
              </w:rPr>
            </w:pPr>
            <w:r w:rsidRPr="00345AA8">
              <w:t>annex including unit prices]</w:t>
            </w:r>
          </w:p>
        </w:tc>
      </w:tr>
      <w:tr w:rsidR="00A758D7" w:rsidRPr="00345AA8" w:rsidTr="002C6ACA">
        <w:trPr>
          <w:jc w:val="center"/>
        </w:trPr>
        <w:tc>
          <w:tcPr>
            <w:tcW w:w="1422" w:type="pct"/>
            <w:shd w:val="clear" w:color="auto" w:fill="E0E0E0"/>
          </w:tcPr>
          <w:p w:rsidR="00A758D7" w:rsidRPr="00345AA8" w:rsidRDefault="00A758D7" w:rsidP="00A758D7">
            <w:pPr>
              <w:spacing w:before="60"/>
            </w:pPr>
            <w:r w:rsidRPr="00345AA8">
              <w:t>Tenderer’s Question</w:t>
            </w:r>
          </w:p>
        </w:tc>
        <w:tc>
          <w:tcPr>
            <w:tcW w:w="3578" w:type="pct"/>
          </w:tcPr>
          <w:p w:rsidR="00A758D7" w:rsidRPr="00345AA8" w:rsidRDefault="00A758D7" w:rsidP="00A758D7">
            <w:r w:rsidRPr="00345AA8">
              <w:t>We understand that items presented under the “Total” row of the Budget Breakdown table do not participate in the total price that will be used for the evaluation of the tender. As presented in the tender documents, spare parts and consumables are in this category. What does CARICOM require in the third reference to “</w:t>
            </w:r>
            <w:r w:rsidRPr="00345AA8">
              <w:rPr>
                <w:b/>
                <w:i/>
              </w:rPr>
              <w:t>annex including unit prices</w:t>
            </w:r>
            <w:r w:rsidRPr="00345AA8">
              <w:t xml:space="preserve">” (marked in bold in the above reference) in the table Budget Breakdown of Annex IV for Lot 1? Can you give examples? </w:t>
            </w:r>
          </w:p>
        </w:tc>
      </w:tr>
      <w:tr w:rsidR="002C6ACA" w:rsidRPr="00345AA8" w:rsidTr="002C6ACA">
        <w:trPr>
          <w:jc w:val="center"/>
        </w:trPr>
        <w:tc>
          <w:tcPr>
            <w:tcW w:w="1422" w:type="pct"/>
            <w:shd w:val="clear" w:color="auto" w:fill="E0E0E0"/>
          </w:tcPr>
          <w:p w:rsidR="002C6ACA" w:rsidRPr="00345AA8" w:rsidRDefault="002C6ACA" w:rsidP="00A758D7">
            <w:pPr>
              <w:spacing w:before="60"/>
            </w:pPr>
            <w:r w:rsidRPr="00890E50">
              <w:t>Answer</w:t>
            </w:r>
          </w:p>
        </w:tc>
        <w:tc>
          <w:tcPr>
            <w:tcW w:w="3578" w:type="pct"/>
          </w:tcPr>
          <w:p w:rsidR="002C6ACA" w:rsidRPr="00345AA8" w:rsidRDefault="00D92DCC" w:rsidP="00890E50">
            <w:r w:rsidRPr="00345AA8">
              <w:t xml:space="preserve">Tenderers are expected to use </w:t>
            </w:r>
            <w:r w:rsidR="009C21D7" w:rsidRPr="00345AA8">
              <w:t>their professional</w:t>
            </w:r>
            <w:r w:rsidRPr="00345AA8">
              <w:t xml:space="preserve"> experience and the expected places of use</w:t>
            </w:r>
            <w:r w:rsidR="00890E50">
              <w:t xml:space="preserve"> </w:t>
            </w:r>
            <w:r w:rsidR="009C21D7" w:rsidRPr="00345AA8">
              <w:t>(of the items on Lots</w:t>
            </w:r>
            <w:r w:rsidR="00EA7005">
              <w:t xml:space="preserve"> 1, 2 and 4</w:t>
            </w:r>
            <w:r w:rsidR="009C21D7" w:rsidRPr="00345AA8">
              <w:t>)</w:t>
            </w:r>
            <w:r w:rsidRPr="00345AA8">
              <w:t xml:space="preserve">, provide lists of spare parts, including the unit </w:t>
            </w:r>
            <w:r w:rsidR="009C21D7" w:rsidRPr="00345AA8">
              <w:t>prices</w:t>
            </w:r>
            <w:r w:rsidRPr="00345AA8">
              <w:t xml:space="preserve"> </w:t>
            </w:r>
            <w:r w:rsidR="009C21D7" w:rsidRPr="00345AA8">
              <w:t>base</w:t>
            </w:r>
            <w:r w:rsidR="00EA7005">
              <w:t xml:space="preserve"> on the items in Lots 1, 2 and 4</w:t>
            </w:r>
            <w:r w:rsidR="009C21D7" w:rsidRPr="00345AA8">
              <w:t xml:space="preserve">. </w:t>
            </w:r>
            <w:r w:rsidRPr="00345AA8">
              <w:t xml:space="preserve"> </w:t>
            </w:r>
          </w:p>
        </w:tc>
      </w:tr>
    </w:tbl>
    <w:p w:rsidR="00A758D7" w:rsidRPr="00345AA8" w:rsidRDefault="00A758D7" w:rsidP="00A758D7">
      <w:pPr>
        <w:pStyle w:val="Clarification"/>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890"/>
      </w:tblGrid>
      <w:tr w:rsidR="00A758D7" w:rsidRPr="00345AA8" w:rsidTr="002C6ACA">
        <w:trPr>
          <w:jc w:val="center"/>
        </w:trPr>
        <w:tc>
          <w:tcPr>
            <w:tcW w:w="1422" w:type="pct"/>
            <w:shd w:val="clear" w:color="auto" w:fill="E0E0E0"/>
          </w:tcPr>
          <w:p w:rsidR="00A758D7" w:rsidRPr="00345AA8" w:rsidRDefault="00A758D7" w:rsidP="00A758D7">
            <w:pPr>
              <w:spacing w:before="60"/>
            </w:pPr>
            <w:r w:rsidRPr="00345AA8">
              <w:t>Document/Section/Page Reference</w:t>
            </w:r>
          </w:p>
        </w:tc>
        <w:tc>
          <w:tcPr>
            <w:tcW w:w="3578" w:type="pct"/>
          </w:tcPr>
          <w:p w:rsidR="00A758D7" w:rsidRPr="00345AA8" w:rsidRDefault="004A5009" w:rsidP="00A758D7">
            <w:pPr>
              <w:spacing w:before="60"/>
            </w:pPr>
            <w:r w:rsidRPr="00345AA8">
              <w:t>ANNEX IV</w:t>
            </w:r>
            <w:r w:rsidR="00A758D7" w:rsidRPr="00345AA8">
              <w:t>: Budget breakdown</w:t>
            </w:r>
          </w:p>
        </w:tc>
      </w:tr>
      <w:tr w:rsidR="00A758D7" w:rsidRPr="00345AA8" w:rsidTr="002C6ACA">
        <w:trPr>
          <w:jc w:val="center"/>
        </w:trPr>
        <w:tc>
          <w:tcPr>
            <w:tcW w:w="1422" w:type="pct"/>
            <w:shd w:val="clear" w:color="auto" w:fill="E0E0E0"/>
          </w:tcPr>
          <w:p w:rsidR="00A758D7" w:rsidRPr="00345AA8" w:rsidRDefault="00A758D7" w:rsidP="00A758D7">
            <w:pPr>
              <w:spacing w:before="60"/>
            </w:pPr>
            <w:r w:rsidRPr="00345AA8">
              <w:lastRenderedPageBreak/>
              <w:t>Topic in Document</w:t>
            </w:r>
          </w:p>
        </w:tc>
        <w:tc>
          <w:tcPr>
            <w:tcW w:w="3578" w:type="pct"/>
          </w:tcPr>
          <w:p w:rsidR="00A758D7" w:rsidRPr="00345AA8" w:rsidRDefault="00A758D7" w:rsidP="00A758D7">
            <w:pPr>
              <w:spacing w:before="60"/>
            </w:pPr>
            <w:r w:rsidRPr="00345AA8">
              <w:t>Column D</w:t>
            </w:r>
          </w:p>
        </w:tc>
      </w:tr>
      <w:tr w:rsidR="00A758D7" w:rsidRPr="00345AA8" w:rsidTr="002C6ACA">
        <w:trPr>
          <w:trHeight w:val="251"/>
          <w:jc w:val="center"/>
        </w:trPr>
        <w:tc>
          <w:tcPr>
            <w:tcW w:w="1422" w:type="pct"/>
            <w:shd w:val="clear" w:color="auto" w:fill="E0E0E0"/>
          </w:tcPr>
          <w:p w:rsidR="00A758D7" w:rsidRPr="00345AA8" w:rsidRDefault="00A758D7" w:rsidP="00A758D7">
            <w:pPr>
              <w:spacing w:before="60"/>
            </w:pPr>
            <w:r w:rsidRPr="00345AA8">
              <w:t>Passage in Document</w:t>
            </w:r>
          </w:p>
        </w:tc>
        <w:tc>
          <w:tcPr>
            <w:tcW w:w="3578" w:type="pct"/>
          </w:tcPr>
          <w:p w:rsidR="00A758D7" w:rsidRPr="00345AA8" w:rsidRDefault="00A758D7" w:rsidP="00A758D7">
            <w:pPr>
              <w:spacing w:before="60"/>
            </w:pPr>
            <w:r w:rsidRPr="00345AA8">
              <w:t>&lt;PLACE OF ACCEPTANCE&gt;</w:t>
            </w:r>
          </w:p>
        </w:tc>
      </w:tr>
      <w:tr w:rsidR="00A758D7" w:rsidRPr="00345AA8" w:rsidTr="002C6ACA">
        <w:trPr>
          <w:jc w:val="center"/>
        </w:trPr>
        <w:tc>
          <w:tcPr>
            <w:tcW w:w="1422" w:type="pct"/>
            <w:shd w:val="clear" w:color="auto" w:fill="E0E0E0"/>
          </w:tcPr>
          <w:p w:rsidR="00A758D7" w:rsidRPr="00345AA8" w:rsidRDefault="00A758D7" w:rsidP="00A758D7">
            <w:pPr>
              <w:spacing w:before="60"/>
            </w:pPr>
            <w:r w:rsidRPr="00345AA8">
              <w:t>Tenderer’s Question</w:t>
            </w:r>
          </w:p>
        </w:tc>
        <w:tc>
          <w:tcPr>
            <w:tcW w:w="3578" w:type="pct"/>
          </w:tcPr>
          <w:p w:rsidR="00A758D7" w:rsidRPr="00345AA8" w:rsidRDefault="00A758D7" w:rsidP="00A758D7">
            <w:r w:rsidRPr="00345AA8">
              <w:t>Since for Lot 1 the “places of acceptance” are more than one (Prime site at Jamaica, DR site at Barbados, MFPs in each CARICOM member, etc.) please clarify how bidders can state in the given template the “place of acceptance” for each set of equipment/software.</w:t>
            </w:r>
          </w:p>
        </w:tc>
      </w:tr>
      <w:tr w:rsidR="002C6ACA" w:rsidRPr="00345AA8" w:rsidTr="002C6ACA">
        <w:trPr>
          <w:jc w:val="center"/>
        </w:trPr>
        <w:tc>
          <w:tcPr>
            <w:tcW w:w="1422" w:type="pct"/>
            <w:shd w:val="clear" w:color="auto" w:fill="E0E0E0"/>
          </w:tcPr>
          <w:p w:rsidR="002C6ACA" w:rsidRPr="00345AA8" w:rsidRDefault="00E82DA2" w:rsidP="00A758D7">
            <w:pPr>
              <w:spacing w:before="60"/>
            </w:pPr>
            <w:r w:rsidRPr="00890E50">
              <w:t>Answer</w:t>
            </w:r>
          </w:p>
        </w:tc>
        <w:tc>
          <w:tcPr>
            <w:tcW w:w="3578" w:type="pct"/>
          </w:tcPr>
          <w:p w:rsidR="002C6ACA" w:rsidRPr="00345AA8" w:rsidRDefault="00E8632E" w:rsidP="00890E50">
            <w:r w:rsidRPr="00345AA8">
              <w:t>The place of acceptance for each set of equipment/software is presented in the Instructions to Tenderers Distribution schedule. This can be presented in separate rows in Annex IV</w:t>
            </w:r>
            <w:r w:rsidR="009C21D7" w:rsidRPr="00345AA8">
              <w:t xml:space="preserve"> (i.e. column D could be split into rows, depending on the number of places of acceptance, for the items in question)</w:t>
            </w:r>
          </w:p>
        </w:tc>
      </w:tr>
    </w:tbl>
    <w:p w:rsidR="00CC4013" w:rsidRPr="00345AA8" w:rsidRDefault="00CC4013" w:rsidP="00CC4013">
      <w:pPr>
        <w:pStyle w:val="Clarification"/>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CC4013" w:rsidRPr="00345AA8" w:rsidTr="002D130C">
        <w:trPr>
          <w:jc w:val="center"/>
        </w:trPr>
        <w:tc>
          <w:tcPr>
            <w:tcW w:w="1439" w:type="pct"/>
            <w:shd w:val="clear" w:color="auto" w:fill="E0E0E0"/>
          </w:tcPr>
          <w:p w:rsidR="00CC4013" w:rsidRPr="00345AA8" w:rsidRDefault="00CC4013" w:rsidP="002D130C">
            <w:pPr>
              <w:spacing w:before="60"/>
            </w:pPr>
            <w:r w:rsidRPr="00345AA8">
              <w:t>Document/Section/Page Reference</w:t>
            </w:r>
          </w:p>
        </w:tc>
        <w:tc>
          <w:tcPr>
            <w:tcW w:w="3561" w:type="pct"/>
          </w:tcPr>
          <w:p w:rsidR="00CC4013" w:rsidRPr="00345AA8" w:rsidRDefault="008407AD" w:rsidP="008407AD">
            <w:pPr>
              <w:spacing w:before="60"/>
            </w:pPr>
            <w:r w:rsidRPr="00345AA8">
              <w:t xml:space="preserve">Annex II and III- Technical Specifications CPPNB - Final (2) </w:t>
            </w:r>
            <w:proofErr w:type="spellStart"/>
            <w:r w:rsidRPr="00345AA8">
              <w:t>cj</w:t>
            </w:r>
            <w:proofErr w:type="spellEnd"/>
          </w:p>
        </w:tc>
      </w:tr>
      <w:tr w:rsidR="00CC4013" w:rsidRPr="00345AA8" w:rsidTr="002D130C">
        <w:trPr>
          <w:jc w:val="center"/>
        </w:trPr>
        <w:tc>
          <w:tcPr>
            <w:tcW w:w="1439" w:type="pct"/>
            <w:shd w:val="clear" w:color="auto" w:fill="E0E0E0"/>
          </w:tcPr>
          <w:p w:rsidR="00CC4013" w:rsidRPr="00345AA8" w:rsidRDefault="00CC4013" w:rsidP="002D130C">
            <w:pPr>
              <w:spacing w:before="60"/>
            </w:pPr>
            <w:r w:rsidRPr="00345AA8">
              <w:t>Topic in Document</w:t>
            </w:r>
          </w:p>
        </w:tc>
        <w:tc>
          <w:tcPr>
            <w:tcW w:w="3561" w:type="pct"/>
          </w:tcPr>
          <w:p w:rsidR="00CC4013" w:rsidRPr="00345AA8" w:rsidRDefault="008407AD" w:rsidP="002D130C">
            <w:pPr>
              <w:spacing w:before="60"/>
            </w:pPr>
            <w:r w:rsidRPr="00345AA8">
              <w:t>Training</w:t>
            </w:r>
          </w:p>
        </w:tc>
      </w:tr>
      <w:tr w:rsidR="00CC4013" w:rsidRPr="00345AA8" w:rsidTr="002D130C">
        <w:trPr>
          <w:trHeight w:val="251"/>
          <w:jc w:val="center"/>
        </w:trPr>
        <w:tc>
          <w:tcPr>
            <w:tcW w:w="1439" w:type="pct"/>
            <w:shd w:val="clear" w:color="auto" w:fill="E0E0E0"/>
          </w:tcPr>
          <w:p w:rsidR="00CC4013" w:rsidRPr="00345AA8" w:rsidRDefault="00CC4013" w:rsidP="002D130C">
            <w:pPr>
              <w:spacing w:before="60"/>
            </w:pPr>
            <w:r w:rsidRPr="00345AA8">
              <w:t>Passage in Document</w:t>
            </w:r>
          </w:p>
        </w:tc>
        <w:tc>
          <w:tcPr>
            <w:tcW w:w="3561" w:type="pct"/>
          </w:tcPr>
          <w:p w:rsidR="00CC4013" w:rsidRPr="00345AA8" w:rsidRDefault="008407AD" w:rsidP="008407AD">
            <w:pPr>
              <w:spacing w:before="60"/>
            </w:pPr>
            <w:r w:rsidRPr="00345AA8">
              <w:t>Train</w:t>
            </w:r>
            <w:r w:rsidR="00441D45" w:rsidRPr="00345AA8">
              <w:t>ing references in items 1.15–17</w:t>
            </w:r>
          </w:p>
          <w:p w:rsidR="008407AD" w:rsidRPr="00345AA8" w:rsidRDefault="00D01CC1" w:rsidP="002D130C">
            <w:pPr>
              <w:spacing w:before="60"/>
            </w:pPr>
            <w:r w:rsidRPr="00345AA8">
              <w:t>Onsite</w:t>
            </w:r>
            <w:r w:rsidR="008407AD" w:rsidRPr="00345AA8">
              <w:t xml:space="preserve"> training for 5 x administrators</w:t>
            </w:r>
          </w:p>
        </w:tc>
      </w:tr>
      <w:tr w:rsidR="00CC4013" w:rsidRPr="00345AA8" w:rsidTr="002D130C">
        <w:trPr>
          <w:jc w:val="center"/>
        </w:trPr>
        <w:tc>
          <w:tcPr>
            <w:tcW w:w="1439" w:type="pct"/>
            <w:shd w:val="clear" w:color="auto" w:fill="E0E0E0"/>
          </w:tcPr>
          <w:p w:rsidR="00CC4013" w:rsidRPr="00345AA8" w:rsidRDefault="00CC4013" w:rsidP="002D130C">
            <w:pPr>
              <w:spacing w:before="60"/>
            </w:pPr>
            <w:r w:rsidRPr="00345AA8">
              <w:t>Tenderer’s Question</w:t>
            </w:r>
          </w:p>
        </w:tc>
        <w:tc>
          <w:tcPr>
            <w:tcW w:w="3561" w:type="pct"/>
          </w:tcPr>
          <w:p w:rsidR="008407AD" w:rsidRPr="00345AA8" w:rsidRDefault="00BF75F2" w:rsidP="00BF75F2">
            <w:r w:rsidRPr="00345AA8">
              <w:t xml:space="preserve">1. </w:t>
            </w:r>
            <w:r w:rsidR="008407AD" w:rsidRPr="00345AA8">
              <w:t>Please clarify if the training referenced in items 1.15–17 will be part of the two 5-day IT training sessions in Jamaica and Barbados as presented in item 1.19, or they refer to separate training sessions.</w:t>
            </w:r>
          </w:p>
          <w:p w:rsidR="00BF75F2" w:rsidRPr="00345AA8" w:rsidRDefault="001560BC" w:rsidP="00441D45">
            <w:pPr>
              <w:widowControl w:val="0"/>
              <w:autoSpaceDE w:val="0"/>
              <w:autoSpaceDN w:val="0"/>
              <w:adjustRightInd w:val="0"/>
              <w:spacing w:after="0"/>
            </w:pPr>
            <w:r w:rsidRPr="00345AA8">
              <w:t>2. Is the training requirements specified on page 4 of the “Technical</w:t>
            </w:r>
            <w:r w:rsidR="00D105A6" w:rsidRPr="00345AA8">
              <w:t xml:space="preserve"> </w:t>
            </w:r>
            <w:r w:rsidRPr="00345AA8">
              <w:t>Specifications + Technical Offer”</w:t>
            </w:r>
            <w:r w:rsidR="00D105A6" w:rsidRPr="00345AA8">
              <w:t xml:space="preserve"> </w:t>
            </w:r>
            <w:r w:rsidRPr="00345AA8">
              <w:t>to be applied to the Virtualization software, Backup software and the Disaster Recovery system?</w:t>
            </w:r>
          </w:p>
          <w:p w:rsidR="000200E7" w:rsidRPr="00345AA8" w:rsidRDefault="000200E7" w:rsidP="000200E7">
            <w:r w:rsidRPr="00345AA8">
              <w:t>3. The Technical Specification states:</w:t>
            </w:r>
          </w:p>
          <w:p w:rsidR="000200E7" w:rsidRPr="00345AA8" w:rsidRDefault="000200E7" w:rsidP="000200E7">
            <w:r w:rsidRPr="00345AA8">
              <w:t>“Also, the Contractor needs to provide a minimum of two 5 (five) days IT training (in two locations: Jamaica and Barbados) to a minimum of 40 IT administrators and administrative staff in total that should include “on site” training engaging them during the whole system installation, customization and configuration and a minimum of six one-day “train the trainer” training (in two locations: Barbados and Trinidad and Tobago) for usage of the implemented system to a minimum of 150 system core trainers in total that should include “on site” training engaging them during the system customization and testing”</w:t>
            </w:r>
          </w:p>
          <w:p w:rsidR="000200E7" w:rsidRPr="00345AA8" w:rsidRDefault="000200E7" w:rsidP="000200E7">
            <w:r w:rsidRPr="00345AA8">
              <w:t>Can you confirm that we are interpreting that the training is for CPPNB users – i.e. procurement staff etc. that will load and use data – will this be done by a “system” trainer or a “procurement” trainer.</w:t>
            </w:r>
          </w:p>
        </w:tc>
      </w:tr>
      <w:tr w:rsidR="002D130C" w:rsidRPr="00345AA8" w:rsidTr="002D130C">
        <w:trPr>
          <w:jc w:val="center"/>
        </w:trPr>
        <w:tc>
          <w:tcPr>
            <w:tcW w:w="1439" w:type="pct"/>
            <w:shd w:val="clear" w:color="auto" w:fill="E0E0E0"/>
          </w:tcPr>
          <w:p w:rsidR="002D130C" w:rsidRPr="00345AA8" w:rsidRDefault="002D130C" w:rsidP="002D130C">
            <w:pPr>
              <w:spacing w:before="60"/>
            </w:pPr>
            <w:r w:rsidRPr="00345AA8">
              <w:t>Answer</w:t>
            </w:r>
          </w:p>
        </w:tc>
        <w:tc>
          <w:tcPr>
            <w:tcW w:w="3561" w:type="pct"/>
          </w:tcPr>
          <w:p w:rsidR="002D130C" w:rsidRPr="00345AA8" w:rsidRDefault="00D105A6" w:rsidP="00D105A6">
            <w:r w:rsidRPr="00345AA8">
              <w:t xml:space="preserve">1. </w:t>
            </w:r>
            <w:r w:rsidR="00FC6701" w:rsidRPr="00345AA8">
              <w:t>The training referenced in items 1.15–19</w:t>
            </w:r>
            <w:r w:rsidR="00D10130" w:rsidRPr="00345AA8">
              <w:t xml:space="preserve"> </w:t>
            </w:r>
            <w:r w:rsidR="00FC6701" w:rsidRPr="00345AA8">
              <w:t>are separate training sessions.</w:t>
            </w:r>
          </w:p>
          <w:p w:rsidR="00D105A6" w:rsidRPr="00345AA8" w:rsidRDefault="004C6689" w:rsidP="00D105A6">
            <w:r w:rsidRPr="00345AA8">
              <w:t xml:space="preserve">2. </w:t>
            </w:r>
            <w:r w:rsidR="00D105A6" w:rsidRPr="00345AA8">
              <w:t>The training requirements specified on page 4 of the “Technical Specifications + Technical Offer” apply to Item 1.19 CPPNB</w:t>
            </w:r>
            <w:r w:rsidRPr="00345AA8">
              <w:t>.</w:t>
            </w:r>
          </w:p>
          <w:p w:rsidR="00216A15" w:rsidRPr="00345AA8" w:rsidRDefault="00216A15" w:rsidP="00D105A6">
            <w:r w:rsidRPr="00345AA8">
              <w:t xml:space="preserve">3. </w:t>
            </w:r>
            <w:r w:rsidR="00F87B1A" w:rsidRPr="00345AA8">
              <w:t>The training requirements specified on page 4 of the “Technical Specifications + Technical Offer” apply to Item 1.19 CPPNB and it is planned for CPPNB administrators and users and should be done by a system trainer</w:t>
            </w:r>
            <w:r w:rsidR="00710CA2" w:rsidRPr="00345AA8">
              <w:t xml:space="preserve"> on CPPNB administration and use respectively.</w:t>
            </w:r>
          </w:p>
        </w:tc>
      </w:tr>
    </w:tbl>
    <w:p w:rsidR="00597000" w:rsidRPr="00345AA8" w:rsidRDefault="00597000" w:rsidP="00597000">
      <w:pPr>
        <w:pStyle w:val="Clarification"/>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597000" w:rsidRPr="00345AA8" w:rsidTr="002D130C">
        <w:trPr>
          <w:jc w:val="center"/>
        </w:trPr>
        <w:tc>
          <w:tcPr>
            <w:tcW w:w="1439" w:type="pct"/>
            <w:shd w:val="clear" w:color="auto" w:fill="E0E0E0"/>
          </w:tcPr>
          <w:p w:rsidR="00597000" w:rsidRPr="00345AA8" w:rsidRDefault="00597000" w:rsidP="002D130C">
            <w:pPr>
              <w:spacing w:before="60"/>
            </w:pPr>
            <w:r w:rsidRPr="00345AA8">
              <w:t>Document/Section/Page Reference</w:t>
            </w:r>
          </w:p>
        </w:tc>
        <w:tc>
          <w:tcPr>
            <w:tcW w:w="3561" w:type="pct"/>
          </w:tcPr>
          <w:p w:rsidR="00597000" w:rsidRPr="00345AA8" w:rsidRDefault="00674473" w:rsidP="00597000">
            <w:pPr>
              <w:spacing w:before="60"/>
            </w:pPr>
            <w:r w:rsidRPr="00345AA8">
              <w:t xml:space="preserve">Annex II and III- Technical Specifications CPPNB - Final (2) </w:t>
            </w:r>
            <w:proofErr w:type="spellStart"/>
            <w:r w:rsidRPr="00345AA8">
              <w:t>cj</w:t>
            </w:r>
            <w:proofErr w:type="spellEnd"/>
            <w:r w:rsidRPr="00345AA8">
              <w:t>/p.27</w:t>
            </w:r>
          </w:p>
        </w:tc>
      </w:tr>
      <w:tr w:rsidR="00597000" w:rsidRPr="00345AA8" w:rsidTr="002D130C">
        <w:trPr>
          <w:jc w:val="center"/>
        </w:trPr>
        <w:tc>
          <w:tcPr>
            <w:tcW w:w="1439" w:type="pct"/>
            <w:shd w:val="clear" w:color="auto" w:fill="E0E0E0"/>
          </w:tcPr>
          <w:p w:rsidR="00597000" w:rsidRPr="00345AA8" w:rsidRDefault="00597000" w:rsidP="002D130C">
            <w:pPr>
              <w:spacing w:before="60"/>
            </w:pPr>
            <w:r w:rsidRPr="00345AA8">
              <w:t>Topic in Document</w:t>
            </w:r>
          </w:p>
        </w:tc>
        <w:tc>
          <w:tcPr>
            <w:tcW w:w="3561" w:type="pct"/>
          </w:tcPr>
          <w:p w:rsidR="00597000" w:rsidRPr="00345AA8" w:rsidRDefault="00674473" w:rsidP="002D130C">
            <w:pPr>
              <w:spacing w:before="60"/>
            </w:pPr>
            <w:r w:rsidRPr="00345AA8">
              <w:t>OCR</w:t>
            </w:r>
          </w:p>
        </w:tc>
      </w:tr>
      <w:tr w:rsidR="00597000" w:rsidRPr="00345AA8" w:rsidTr="002D130C">
        <w:trPr>
          <w:trHeight w:val="251"/>
          <w:jc w:val="center"/>
        </w:trPr>
        <w:tc>
          <w:tcPr>
            <w:tcW w:w="1439" w:type="pct"/>
            <w:shd w:val="clear" w:color="auto" w:fill="E0E0E0"/>
          </w:tcPr>
          <w:p w:rsidR="00597000" w:rsidRPr="00345AA8" w:rsidRDefault="00597000" w:rsidP="002D130C">
            <w:pPr>
              <w:spacing w:before="60"/>
            </w:pPr>
            <w:r w:rsidRPr="00345AA8">
              <w:t>Passage in Document</w:t>
            </w:r>
          </w:p>
        </w:tc>
        <w:tc>
          <w:tcPr>
            <w:tcW w:w="3561" w:type="pct"/>
          </w:tcPr>
          <w:p w:rsidR="00597000" w:rsidRPr="00345AA8" w:rsidRDefault="00674473" w:rsidP="00157382">
            <w:r w:rsidRPr="00345AA8">
              <w:t>Full text OCR and creation of searchable PDF files;</w:t>
            </w:r>
          </w:p>
        </w:tc>
      </w:tr>
      <w:tr w:rsidR="00597000" w:rsidRPr="00345AA8" w:rsidTr="002D130C">
        <w:trPr>
          <w:jc w:val="center"/>
        </w:trPr>
        <w:tc>
          <w:tcPr>
            <w:tcW w:w="1439" w:type="pct"/>
            <w:shd w:val="clear" w:color="auto" w:fill="E0E0E0"/>
          </w:tcPr>
          <w:p w:rsidR="00597000" w:rsidRPr="00345AA8" w:rsidRDefault="00597000" w:rsidP="002D130C">
            <w:pPr>
              <w:spacing w:before="60"/>
            </w:pPr>
            <w:r w:rsidRPr="00345AA8">
              <w:lastRenderedPageBreak/>
              <w:t>Tenderer’s Question</w:t>
            </w:r>
          </w:p>
        </w:tc>
        <w:tc>
          <w:tcPr>
            <w:tcW w:w="3561" w:type="pct"/>
          </w:tcPr>
          <w:p w:rsidR="00597000" w:rsidRPr="00345AA8" w:rsidRDefault="00674473" w:rsidP="00674473">
            <w:r w:rsidRPr="00345AA8">
              <w:t>Please clarify the language options that need to be supported by the OCR system.</w:t>
            </w:r>
          </w:p>
        </w:tc>
      </w:tr>
      <w:tr w:rsidR="00FC6701" w:rsidRPr="00345AA8" w:rsidTr="002D130C">
        <w:trPr>
          <w:jc w:val="center"/>
        </w:trPr>
        <w:tc>
          <w:tcPr>
            <w:tcW w:w="1439" w:type="pct"/>
            <w:shd w:val="clear" w:color="auto" w:fill="E0E0E0"/>
          </w:tcPr>
          <w:p w:rsidR="00FC6701" w:rsidRPr="00345AA8" w:rsidRDefault="00FC6701" w:rsidP="002D130C">
            <w:pPr>
              <w:spacing w:before="60"/>
            </w:pPr>
            <w:r w:rsidRPr="00345AA8">
              <w:t>Answer</w:t>
            </w:r>
          </w:p>
        </w:tc>
        <w:tc>
          <w:tcPr>
            <w:tcW w:w="3561" w:type="pct"/>
          </w:tcPr>
          <w:p w:rsidR="00FC6701" w:rsidRPr="00345AA8" w:rsidRDefault="00D95CF7" w:rsidP="00674473">
            <w:r w:rsidRPr="00345AA8">
              <w:t>English, French and Dutch</w:t>
            </w:r>
            <w:r w:rsidR="00715D32" w:rsidRPr="00345AA8">
              <w:t>.</w:t>
            </w:r>
          </w:p>
        </w:tc>
      </w:tr>
    </w:tbl>
    <w:p w:rsidR="0044583E" w:rsidRPr="00345AA8" w:rsidRDefault="0044583E" w:rsidP="0044583E">
      <w:pPr>
        <w:pStyle w:val="Clarification"/>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293156" w:rsidRPr="00345AA8" w:rsidTr="00293156">
        <w:trPr>
          <w:jc w:val="center"/>
        </w:trPr>
        <w:tc>
          <w:tcPr>
            <w:tcW w:w="1439" w:type="pct"/>
            <w:tcBorders>
              <w:top w:val="single" w:sz="4" w:space="0" w:color="auto"/>
              <w:left w:val="single" w:sz="4" w:space="0" w:color="auto"/>
              <w:bottom w:val="single" w:sz="4" w:space="0" w:color="auto"/>
              <w:right w:val="single" w:sz="4" w:space="0" w:color="auto"/>
            </w:tcBorders>
            <w:shd w:val="clear" w:color="auto" w:fill="E0E0E0"/>
          </w:tcPr>
          <w:p w:rsidR="00293156" w:rsidRPr="00345AA8" w:rsidRDefault="00293156" w:rsidP="00293156">
            <w:pPr>
              <w:spacing w:before="60"/>
            </w:pPr>
            <w:r w:rsidRPr="00345AA8">
              <w:t>Document/Section/Page Reference</w:t>
            </w:r>
          </w:p>
        </w:tc>
        <w:tc>
          <w:tcPr>
            <w:tcW w:w="3561" w:type="pct"/>
            <w:tcBorders>
              <w:top w:val="single" w:sz="4" w:space="0" w:color="auto"/>
              <w:left w:val="single" w:sz="4" w:space="0" w:color="auto"/>
              <w:bottom w:val="single" w:sz="4" w:space="0" w:color="auto"/>
              <w:right w:val="single" w:sz="4" w:space="0" w:color="auto"/>
            </w:tcBorders>
          </w:tcPr>
          <w:p w:rsidR="00293156" w:rsidRPr="00345AA8" w:rsidRDefault="00293156" w:rsidP="00293156">
            <w:pPr>
              <w:spacing w:before="60"/>
            </w:pPr>
            <w:r w:rsidRPr="00345AA8">
              <w:t xml:space="preserve">Annex II and III- Technical Specifications CPPNB - Final (2) </w:t>
            </w:r>
            <w:proofErr w:type="spellStart"/>
            <w:r w:rsidRPr="00345AA8">
              <w:t>cj</w:t>
            </w:r>
            <w:proofErr w:type="spellEnd"/>
            <w:r w:rsidRPr="00345AA8">
              <w:t>/pp.7-8</w:t>
            </w:r>
          </w:p>
        </w:tc>
      </w:tr>
      <w:tr w:rsidR="00293156" w:rsidRPr="00345AA8" w:rsidTr="00293156">
        <w:trPr>
          <w:jc w:val="center"/>
        </w:trPr>
        <w:tc>
          <w:tcPr>
            <w:tcW w:w="1439" w:type="pct"/>
            <w:tcBorders>
              <w:top w:val="single" w:sz="4" w:space="0" w:color="auto"/>
              <w:left w:val="single" w:sz="4" w:space="0" w:color="auto"/>
              <w:bottom w:val="single" w:sz="4" w:space="0" w:color="auto"/>
              <w:right w:val="single" w:sz="4" w:space="0" w:color="auto"/>
            </w:tcBorders>
            <w:shd w:val="clear" w:color="auto" w:fill="E0E0E0"/>
          </w:tcPr>
          <w:p w:rsidR="00293156" w:rsidRPr="00345AA8" w:rsidRDefault="00293156" w:rsidP="00293156">
            <w:pPr>
              <w:spacing w:before="60"/>
            </w:pPr>
            <w:r w:rsidRPr="00345AA8">
              <w:t>Topic in Document</w:t>
            </w:r>
          </w:p>
        </w:tc>
        <w:tc>
          <w:tcPr>
            <w:tcW w:w="3561" w:type="pct"/>
            <w:tcBorders>
              <w:top w:val="single" w:sz="4" w:space="0" w:color="auto"/>
              <w:left w:val="single" w:sz="4" w:space="0" w:color="auto"/>
              <w:bottom w:val="single" w:sz="4" w:space="0" w:color="auto"/>
              <w:right w:val="single" w:sz="4" w:space="0" w:color="auto"/>
            </w:tcBorders>
          </w:tcPr>
          <w:p w:rsidR="00293156" w:rsidRPr="00345AA8" w:rsidRDefault="00293156" w:rsidP="00293156">
            <w:pPr>
              <w:spacing w:before="60"/>
            </w:pPr>
            <w:r w:rsidRPr="00345AA8">
              <w:t>1.2 Database Server</w:t>
            </w:r>
          </w:p>
        </w:tc>
      </w:tr>
      <w:tr w:rsidR="00293156" w:rsidRPr="00345AA8" w:rsidTr="00293156">
        <w:trPr>
          <w:jc w:val="center"/>
        </w:trPr>
        <w:tc>
          <w:tcPr>
            <w:tcW w:w="1439" w:type="pct"/>
            <w:tcBorders>
              <w:top w:val="single" w:sz="4" w:space="0" w:color="auto"/>
              <w:left w:val="single" w:sz="4" w:space="0" w:color="auto"/>
              <w:bottom w:val="single" w:sz="4" w:space="0" w:color="auto"/>
              <w:right w:val="single" w:sz="4" w:space="0" w:color="auto"/>
            </w:tcBorders>
            <w:shd w:val="clear" w:color="auto" w:fill="E0E0E0"/>
          </w:tcPr>
          <w:p w:rsidR="00293156" w:rsidRPr="00345AA8" w:rsidRDefault="00293156" w:rsidP="00293156">
            <w:pPr>
              <w:spacing w:before="60"/>
            </w:pPr>
            <w:r w:rsidRPr="00345AA8">
              <w:t>Passage in Document</w:t>
            </w:r>
          </w:p>
          <w:p w:rsidR="00233DF5" w:rsidRPr="00345AA8" w:rsidRDefault="00233DF5" w:rsidP="00293156">
            <w:pPr>
              <w:spacing w:before="60"/>
            </w:pPr>
          </w:p>
          <w:p w:rsidR="00233DF5" w:rsidRPr="00345AA8" w:rsidRDefault="00233DF5" w:rsidP="00233DF5">
            <w:pPr>
              <w:spacing w:after="0"/>
              <w:rPr>
                <w:lang w:eastAsia="en-GB"/>
              </w:rPr>
            </w:pPr>
            <w:r w:rsidRPr="00345AA8">
              <w:rPr>
                <w:lang w:eastAsia="en-GB"/>
              </w:rPr>
              <w:t>Without limits - Operating System maximum</w:t>
            </w:r>
          </w:p>
          <w:p w:rsidR="00233DF5" w:rsidRPr="00345AA8" w:rsidRDefault="00233DF5" w:rsidP="00233DF5">
            <w:pPr>
              <w:spacing w:after="0"/>
              <w:rPr>
                <w:lang w:eastAsia="en-GB"/>
              </w:rPr>
            </w:pPr>
            <w:r w:rsidRPr="00345AA8">
              <w:rPr>
                <w:lang w:eastAsia="en-GB"/>
              </w:rPr>
              <w:t>Failover Cluster Instances support, Always availability support, Database mirroring, Log Shipping, Database snapshot, Encrypted Backup</w:t>
            </w:r>
          </w:p>
          <w:p w:rsidR="00233DF5" w:rsidRPr="00345AA8" w:rsidRDefault="00233DF5" w:rsidP="00233DF5">
            <w:pPr>
              <w:spacing w:after="0"/>
              <w:rPr>
                <w:lang w:eastAsia="en-GB"/>
              </w:rPr>
            </w:pPr>
            <w:r w:rsidRPr="00345AA8">
              <w:rPr>
                <w:lang w:eastAsia="en-GB"/>
              </w:rPr>
              <w:t>Multi-instance support, Table and index partitioning, Data compression, In-Memory OLTP</w:t>
            </w:r>
          </w:p>
          <w:p w:rsidR="00233DF5" w:rsidRPr="00345AA8" w:rsidRDefault="00233DF5" w:rsidP="00233DF5">
            <w:pPr>
              <w:spacing w:after="0"/>
              <w:rPr>
                <w:lang w:eastAsia="en-GB"/>
              </w:rPr>
            </w:pPr>
            <w:r w:rsidRPr="00345AA8">
              <w:rPr>
                <w:lang w:eastAsia="en-GB"/>
              </w:rPr>
              <w:t>Fine Grained Auditing, Encryption for Backups, Transparent database encryption, User-Defined Roles, Enhanced separation of duty, Encryption Key Management</w:t>
            </w:r>
          </w:p>
          <w:p w:rsidR="00233DF5" w:rsidRPr="00345AA8" w:rsidRDefault="00233DF5" w:rsidP="00233DF5">
            <w:pPr>
              <w:spacing w:after="0"/>
              <w:rPr>
                <w:lang w:eastAsia="en-GB"/>
              </w:rPr>
            </w:pPr>
            <w:r w:rsidRPr="00345AA8">
              <w:rPr>
                <w:lang w:eastAsia="en-GB"/>
              </w:rPr>
              <w:t>Support for structured, unstructured and complex data types</w:t>
            </w:r>
          </w:p>
          <w:p w:rsidR="00233DF5" w:rsidRPr="00345AA8" w:rsidRDefault="00233DF5" w:rsidP="00233DF5">
            <w:pPr>
              <w:spacing w:after="0"/>
            </w:pPr>
            <w:r w:rsidRPr="00345AA8">
              <w:rPr>
                <w:lang w:eastAsia="en-GB"/>
              </w:rPr>
              <w:t>Support for industry standard APIs (ADO.NET, ODBC, JDBC, PDO, and ADO)</w:t>
            </w:r>
            <w:r w:rsidRPr="00345AA8">
              <w:t xml:space="preserve"> </w:t>
            </w:r>
          </w:p>
          <w:p w:rsidR="00233DF5" w:rsidRPr="00345AA8" w:rsidRDefault="00233DF5" w:rsidP="00293156">
            <w:pPr>
              <w:spacing w:before="60"/>
            </w:pPr>
          </w:p>
        </w:tc>
        <w:tc>
          <w:tcPr>
            <w:tcW w:w="3561" w:type="pct"/>
            <w:tcBorders>
              <w:top w:val="single" w:sz="4" w:space="0" w:color="auto"/>
              <w:left w:val="single" w:sz="4" w:space="0" w:color="auto"/>
              <w:bottom w:val="single" w:sz="4" w:space="0" w:color="auto"/>
              <w:right w:val="single" w:sz="4" w:space="0" w:color="auto"/>
            </w:tcBorders>
          </w:tcPr>
          <w:p w:rsidR="000746B1" w:rsidRPr="00345AA8" w:rsidRDefault="000746B1" w:rsidP="000746B1">
            <w:pPr>
              <w:spacing w:before="60"/>
            </w:pPr>
            <w:r w:rsidRPr="00345AA8">
              <w:t>Database Server</w:t>
            </w:r>
          </w:p>
          <w:p w:rsidR="000746B1" w:rsidRPr="00345AA8" w:rsidRDefault="000746B1" w:rsidP="000746B1">
            <w:pPr>
              <w:spacing w:before="60"/>
            </w:pPr>
            <w:r w:rsidRPr="00345AA8">
              <w:t>[…]</w:t>
            </w:r>
          </w:p>
          <w:p w:rsidR="000746B1" w:rsidRPr="00345AA8" w:rsidRDefault="000746B1" w:rsidP="000746B1">
            <w:pPr>
              <w:spacing w:before="60"/>
            </w:pPr>
            <w:r w:rsidRPr="00345AA8">
              <w:rPr>
                <w:b/>
              </w:rPr>
              <w:t>RDBMS to support items 1.18 and 1.19</w:t>
            </w:r>
            <w:r w:rsidRPr="00345AA8">
              <w:t>:</w:t>
            </w:r>
          </w:p>
          <w:p w:rsidR="000746B1" w:rsidRPr="00345AA8" w:rsidRDefault="000746B1" w:rsidP="000746B1">
            <w:pPr>
              <w:spacing w:before="60"/>
            </w:pPr>
            <w:r w:rsidRPr="00345AA8">
              <w:rPr>
                <w:b/>
              </w:rPr>
              <w:t>Limits</w:t>
            </w:r>
            <w:r w:rsidRPr="00345AA8">
              <w:t>:</w:t>
            </w:r>
          </w:p>
          <w:p w:rsidR="000746B1" w:rsidRPr="00345AA8" w:rsidRDefault="000746B1" w:rsidP="000746B1">
            <w:pPr>
              <w:spacing w:before="60"/>
            </w:pPr>
            <w:r w:rsidRPr="00345AA8">
              <w:t>Without limits - Operating System maximum</w:t>
            </w:r>
          </w:p>
          <w:p w:rsidR="000746B1" w:rsidRPr="00345AA8" w:rsidRDefault="000746B1" w:rsidP="000746B1">
            <w:pPr>
              <w:spacing w:before="60"/>
            </w:pPr>
            <w:r w:rsidRPr="00345AA8">
              <w:rPr>
                <w:b/>
              </w:rPr>
              <w:t>High Availability</w:t>
            </w:r>
            <w:r w:rsidRPr="00345AA8">
              <w:t>:</w:t>
            </w:r>
          </w:p>
          <w:p w:rsidR="000746B1" w:rsidRPr="00345AA8" w:rsidRDefault="000746B1" w:rsidP="000746B1">
            <w:pPr>
              <w:spacing w:before="60"/>
            </w:pPr>
            <w:r w:rsidRPr="00345AA8">
              <w:t>Failover Cluster Instances support, Always availability support, Database mirroring, Log Shipping, Database snapshot, Encrypted Backup</w:t>
            </w:r>
          </w:p>
          <w:p w:rsidR="000746B1" w:rsidRPr="00345AA8" w:rsidRDefault="000746B1" w:rsidP="000746B1">
            <w:pPr>
              <w:spacing w:before="60"/>
            </w:pPr>
            <w:r w:rsidRPr="00345AA8">
              <w:rPr>
                <w:b/>
              </w:rPr>
              <w:t>Scalability</w:t>
            </w:r>
            <w:r w:rsidRPr="00345AA8">
              <w:t>:</w:t>
            </w:r>
          </w:p>
          <w:p w:rsidR="000746B1" w:rsidRPr="00345AA8" w:rsidRDefault="000746B1" w:rsidP="000746B1">
            <w:pPr>
              <w:spacing w:before="60"/>
            </w:pPr>
            <w:r w:rsidRPr="00345AA8">
              <w:t>Multi-instance support, Table and index partitioning, Data compression, In-Memory OLTP</w:t>
            </w:r>
          </w:p>
          <w:p w:rsidR="000746B1" w:rsidRPr="00345AA8" w:rsidRDefault="000746B1" w:rsidP="000746B1">
            <w:pPr>
              <w:spacing w:before="60"/>
            </w:pPr>
            <w:r w:rsidRPr="00345AA8">
              <w:rPr>
                <w:b/>
              </w:rPr>
              <w:t>Security</w:t>
            </w:r>
            <w:r w:rsidRPr="00345AA8">
              <w:t>:</w:t>
            </w:r>
          </w:p>
          <w:p w:rsidR="000746B1" w:rsidRPr="00345AA8" w:rsidRDefault="000746B1" w:rsidP="000746B1">
            <w:pPr>
              <w:spacing w:before="60"/>
            </w:pPr>
            <w:r w:rsidRPr="00345AA8">
              <w:t>Fine Grained Auditing, Encryption for Backups, Transparent database encryption, User-Defined Roles, Enhanced separation of duty, Encryption Key Management</w:t>
            </w:r>
          </w:p>
          <w:p w:rsidR="000746B1" w:rsidRPr="00345AA8" w:rsidRDefault="000746B1" w:rsidP="000746B1">
            <w:pPr>
              <w:spacing w:before="60"/>
            </w:pPr>
            <w:r w:rsidRPr="00345AA8">
              <w:rPr>
                <w:b/>
              </w:rPr>
              <w:t>Integration and Development</w:t>
            </w:r>
            <w:r w:rsidRPr="00345AA8">
              <w:t>:</w:t>
            </w:r>
          </w:p>
          <w:p w:rsidR="000746B1" w:rsidRPr="00345AA8" w:rsidRDefault="000746B1" w:rsidP="000746B1">
            <w:pPr>
              <w:spacing w:before="60"/>
            </w:pPr>
            <w:r w:rsidRPr="00345AA8">
              <w:t xml:space="preserve">Support for structured, unstructured and complex data types, support for industry standard APIs (ADO.NET, ODBC, JDBC, PDO, and ADO) across varied platforms including C/C++, .NET, Java, PHP, data profiling tools, built-in data source integration adapters, support for diverse data types, including XML and </w:t>
            </w:r>
            <w:proofErr w:type="spellStart"/>
            <w:r w:rsidRPr="00345AA8">
              <w:t>Filestream</w:t>
            </w:r>
            <w:proofErr w:type="spellEnd"/>
            <w:r w:rsidRPr="00345AA8">
              <w:t xml:space="preserve"> as well as spatial and planar indexing, native XML support, XML indexing, Web services (HTTP/SOAP endpoints), service broker (messaging)</w:t>
            </w:r>
          </w:p>
          <w:p w:rsidR="000746B1" w:rsidRPr="00345AA8" w:rsidRDefault="000746B1" w:rsidP="000746B1">
            <w:pPr>
              <w:spacing w:before="60"/>
              <w:rPr>
                <w:b/>
              </w:rPr>
            </w:pPr>
            <w:r w:rsidRPr="00345AA8">
              <w:rPr>
                <w:b/>
              </w:rPr>
              <w:t>Data Warehousing and Business Intelligence:</w:t>
            </w:r>
          </w:p>
          <w:p w:rsidR="00293156" w:rsidRPr="00345AA8" w:rsidRDefault="000746B1" w:rsidP="000746B1">
            <w:pPr>
              <w:spacing w:before="60"/>
            </w:pPr>
            <w:r w:rsidRPr="00345AA8">
              <w:t>Partitioning, parallel query processing on partitioned tables and indices, Data Mining Tools, Models on Filtered Subsets of Mining Structure Data, Unlimited Concurrent DM Queries, Advanced Configuration &amp; Tuning Options for Data Mining Algorithms, Semantic model, Advanced analytics</w:t>
            </w:r>
          </w:p>
        </w:tc>
      </w:tr>
      <w:tr w:rsidR="00293156" w:rsidRPr="00345AA8" w:rsidTr="00293156">
        <w:trPr>
          <w:jc w:val="center"/>
        </w:trPr>
        <w:tc>
          <w:tcPr>
            <w:tcW w:w="1439" w:type="pct"/>
            <w:tcBorders>
              <w:top w:val="single" w:sz="4" w:space="0" w:color="auto"/>
              <w:left w:val="single" w:sz="4" w:space="0" w:color="auto"/>
              <w:bottom w:val="single" w:sz="4" w:space="0" w:color="auto"/>
              <w:right w:val="single" w:sz="4" w:space="0" w:color="auto"/>
            </w:tcBorders>
            <w:shd w:val="clear" w:color="auto" w:fill="E0E0E0"/>
          </w:tcPr>
          <w:p w:rsidR="00293156" w:rsidRPr="00345AA8" w:rsidRDefault="00293156" w:rsidP="00293156">
            <w:pPr>
              <w:spacing w:before="60"/>
            </w:pPr>
            <w:r w:rsidRPr="00345AA8">
              <w:t>Tenderer’s Question</w:t>
            </w:r>
          </w:p>
        </w:tc>
        <w:tc>
          <w:tcPr>
            <w:tcW w:w="3561" w:type="pct"/>
            <w:tcBorders>
              <w:top w:val="single" w:sz="4" w:space="0" w:color="auto"/>
              <w:left w:val="single" w:sz="4" w:space="0" w:color="auto"/>
              <w:bottom w:val="single" w:sz="4" w:space="0" w:color="auto"/>
              <w:right w:val="single" w:sz="4" w:space="0" w:color="auto"/>
            </w:tcBorders>
          </w:tcPr>
          <w:p w:rsidR="000746B1" w:rsidRPr="00345AA8" w:rsidRDefault="00C21EA1" w:rsidP="00C21EA1">
            <w:pPr>
              <w:widowControl w:val="0"/>
              <w:autoSpaceDE w:val="0"/>
              <w:autoSpaceDN w:val="0"/>
              <w:adjustRightInd w:val="0"/>
              <w:spacing w:after="0"/>
            </w:pPr>
            <w:r w:rsidRPr="00345AA8">
              <w:t xml:space="preserve">1. </w:t>
            </w:r>
            <w:r w:rsidR="000746B1" w:rsidRPr="00345AA8">
              <w:t xml:space="preserve">We understand that the RDBMS to be offered as part of item 1.2 “Database server” is to be used only by items 1.18 (i.e. e-Learning Platform) and 1.19 (i.e. Community Public Procurement Notice Board - CPPNB) and for no other application. </w:t>
            </w:r>
          </w:p>
          <w:p w:rsidR="000746B1" w:rsidRPr="00345AA8" w:rsidRDefault="000746B1" w:rsidP="00C21EA1">
            <w:pPr>
              <w:widowControl w:val="0"/>
              <w:autoSpaceDE w:val="0"/>
              <w:autoSpaceDN w:val="0"/>
              <w:adjustRightInd w:val="0"/>
              <w:spacing w:after="0"/>
            </w:pPr>
            <w:r w:rsidRPr="00345AA8">
              <w:t>Could you please confirm that our understanding is correct?</w:t>
            </w:r>
          </w:p>
          <w:p w:rsidR="000746B1" w:rsidRPr="00345AA8" w:rsidRDefault="000746B1" w:rsidP="00C21EA1">
            <w:pPr>
              <w:widowControl w:val="0"/>
              <w:autoSpaceDE w:val="0"/>
              <w:autoSpaceDN w:val="0"/>
              <w:adjustRightInd w:val="0"/>
              <w:spacing w:after="0"/>
            </w:pPr>
            <w:r w:rsidRPr="00345AA8">
              <w:t>2</w:t>
            </w:r>
            <w:r w:rsidR="00C21EA1" w:rsidRPr="00345AA8">
              <w:t>.</w:t>
            </w:r>
            <w:r w:rsidRPr="00345AA8">
              <w:t xml:space="preserve"> Some of the database specifications refer to particular technologies associated with a specific vendor’s database system. As an example, the reference to “</w:t>
            </w:r>
            <w:proofErr w:type="spellStart"/>
            <w:r w:rsidRPr="00345AA8">
              <w:t>Filestream</w:t>
            </w:r>
            <w:proofErr w:type="spellEnd"/>
            <w:r w:rsidRPr="00345AA8">
              <w:t xml:space="preserve">” cannot be considered a generic RDBMS characteristic as it specifically refers to Microsoft technology that is present only in Microsoft SQL Server databases.  </w:t>
            </w:r>
          </w:p>
          <w:p w:rsidR="000746B1" w:rsidRPr="00345AA8" w:rsidRDefault="000746B1" w:rsidP="00C21EA1">
            <w:pPr>
              <w:widowControl w:val="0"/>
              <w:autoSpaceDE w:val="0"/>
              <w:autoSpaceDN w:val="0"/>
              <w:adjustRightInd w:val="0"/>
              <w:spacing w:after="0"/>
            </w:pPr>
            <w:r w:rsidRPr="00345AA8">
              <w:t>This renders as non-compliant e-Learning and CPPNB solutions which are not based on Microsoft technologies (including solutions based on Open Source technologies).</w:t>
            </w:r>
          </w:p>
          <w:p w:rsidR="000746B1" w:rsidRPr="00345AA8" w:rsidRDefault="000746B1" w:rsidP="00C21EA1">
            <w:pPr>
              <w:widowControl w:val="0"/>
              <w:autoSpaceDE w:val="0"/>
              <w:autoSpaceDN w:val="0"/>
              <w:adjustRightInd w:val="0"/>
              <w:spacing w:after="0"/>
            </w:pPr>
            <w:r w:rsidRPr="00345AA8">
              <w:t xml:space="preserve">2.1 In order to allow bidders to provide an optimum solution, could you </w:t>
            </w:r>
            <w:r w:rsidRPr="00345AA8">
              <w:lastRenderedPageBreak/>
              <w:t xml:space="preserve">please remove all requirements which impose (a) the database system they will use and (b) how such database system will operate internally? </w:t>
            </w:r>
          </w:p>
          <w:p w:rsidR="000746B1" w:rsidRPr="00345AA8" w:rsidRDefault="000746B1" w:rsidP="00C21EA1">
            <w:pPr>
              <w:widowControl w:val="0"/>
              <w:autoSpaceDE w:val="0"/>
              <w:autoSpaceDN w:val="0"/>
              <w:adjustRightInd w:val="0"/>
              <w:spacing w:after="0"/>
            </w:pPr>
            <w:r w:rsidRPr="00345AA8">
              <w:t>2.2 Could you please consider changing the RDBMS clause to a text similar to the following:</w:t>
            </w:r>
          </w:p>
          <w:p w:rsidR="000746B1" w:rsidRPr="00345AA8" w:rsidRDefault="000746B1" w:rsidP="00C21EA1">
            <w:pPr>
              <w:widowControl w:val="0"/>
              <w:autoSpaceDE w:val="0"/>
              <w:autoSpaceDN w:val="0"/>
              <w:adjustRightInd w:val="0"/>
              <w:spacing w:after="0"/>
            </w:pPr>
            <w:r w:rsidRPr="00345AA8">
              <w:t>“Limits: The database should not pose any limitation to handling the current and future requirements of the solution for e-Learning and CPPNB.</w:t>
            </w:r>
          </w:p>
          <w:p w:rsidR="000746B1" w:rsidRPr="00345AA8" w:rsidRDefault="000746B1" w:rsidP="00C21EA1">
            <w:pPr>
              <w:widowControl w:val="0"/>
              <w:autoSpaceDE w:val="0"/>
              <w:autoSpaceDN w:val="0"/>
              <w:adjustRightInd w:val="0"/>
              <w:spacing w:after="0"/>
            </w:pPr>
            <w:r w:rsidRPr="00345AA8">
              <w:t xml:space="preserve">High Availability: The database must support the high availability clustered design proposed. </w:t>
            </w:r>
          </w:p>
          <w:p w:rsidR="000746B1" w:rsidRPr="00345AA8" w:rsidRDefault="000746B1" w:rsidP="00C21EA1">
            <w:pPr>
              <w:widowControl w:val="0"/>
              <w:autoSpaceDE w:val="0"/>
              <w:autoSpaceDN w:val="0"/>
              <w:adjustRightInd w:val="0"/>
              <w:spacing w:after="0"/>
            </w:pPr>
            <w:r w:rsidRPr="00345AA8">
              <w:t>Scalability: The database must be able to scale out in line with the evolution of the e-Learning and CPPNB systems.</w:t>
            </w:r>
          </w:p>
          <w:p w:rsidR="000746B1" w:rsidRPr="00345AA8" w:rsidRDefault="000746B1" w:rsidP="00C21EA1">
            <w:pPr>
              <w:widowControl w:val="0"/>
              <w:autoSpaceDE w:val="0"/>
              <w:autoSpaceDN w:val="0"/>
              <w:adjustRightInd w:val="0"/>
              <w:spacing w:after="0"/>
            </w:pPr>
            <w:r w:rsidRPr="00345AA8">
              <w:t>Security: Support encryption for data in storage and in backups, fine-grained auditing, user-defined roles and separation of duty.</w:t>
            </w:r>
          </w:p>
          <w:p w:rsidR="000746B1" w:rsidRPr="00345AA8" w:rsidRDefault="000746B1" w:rsidP="00C21EA1">
            <w:pPr>
              <w:widowControl w:val="0"/>
              <w:autoSpaceDE w:val="0"/>
              <w:autoSpaceDN w:val="0"/>
              <w:adjustRightInd w:val="0"/>
              <w:spacing w:after="0"/>
            </w:pPr>
            <w:r w:rsidRPr="00345AA8">
              <w:t>Integration and Development: Support for structured, unstructured and complex data types, support for industry standard APIs across varied platforms and native XML support.</w:t>
            </w:r>
          </w:p>
          <w:p w:rsidR="000746B1" w:rsidRPr="00345AA8" w:rsidRDefault="000746B1" w:rsidP="00C21EA1">
            <w:pPr>
              <w:widowControl w:val="0"/>
              <w:autoSpaceDE w:val="0"/>
              <w:autoSpaceDN w:val="0"/>
              <w:adjustRightInd w:val="0"/>
              <w:spacing w:after="0"/>
            </w:pPr>
            <w:r w:rsidRPr="00345AA8">
              <w:t>Data Warehousing and Business Intelligence: Support for the DWBI functionality included in the specifications of the e-Learning and CPPNB solutions (1.18, 1.19)”.</w:t>
            </w:r>
          </w:p>
          <w:p w:rsidR="000746B1" w:rsidRPr="00345AA8" w:rsidRDefault="000746B1" w:rsidP="00C21EA1">
            <w:pPr>
              <w:widowControl w:val="0"/>
              <w:autoSpaceDE w:val="0"/>
              <w:autoSpaceDN w:val="0"/>
              <w:adjustRightInd w:val="0"/>
              <w:spacing w:after="0"/>
            </w:pPr>
            <w:r w:rsidRPr="00345AA8">
              <w:t>3</w:t>
            </w:r>
            <w:r w:rsidR="00C21EA1" w:rsidRPr="00345AA8">
              <w:t xml:space="preserve">. </w:t>
            </w:r>
            <w:r w:rsidRPr="00345AA8">
              <w:t>We also refer to the following extract of the tender specifications (page 23, 1.19, CPPNB, “General Specifications of the system”)</w:t>
            </w:r>
          </w:p>
          <w:p w:rsidR="000746B1" w:rsidRPr="00345AA8" w:rsidRDefault="000746B1" w:rsidP="00C21EA1">
            <w:pPr>
              <w:widowControl w:val="0"/>
              <w:autoSpaceDE w:val="0"/>
              <w:autoSpaceDN w:val="0"/>
              <w:adjustRightInd w:val="0"/>
              <w:spacing w:after="0"/>
            </w:pPr>
            <w:r w:rsidRPr="00345AA8">
              <w:t>“The system must provide performance for minimum 5,000 procuring entities and minimum 10,000 bidders and other users with no restrictions on the increased number of users at the primary site with operational backup and disaster recovery site that can take over full performance as soon as primary site is unavailable”.</w:t>
            </w:r>
          </w:p>
          <w:p w:rsidR="000746B1" w:rsidRPr="00345AA8" w:rsidRDefault="000746B1" w:rsidP="00C21EA1">
            <w:pPr>
              <w:widowControl w:val="0"/>
              <w:autoSpaceDE w:val="0"/>
              <w:autoSpaceDN w:val="0"/>
              <w:adjustRightInd w:val="0"/>
              <w:spacing w:after="0"/>
            </w:pPr>
            <w:r w:rsidRPr="00345AA8">
              <w:t>Bidders should be allowed to freely choose the underlying RDBMS so that the system the offer meets the above availability and scalability requirement. Locking a performance requirement to a specific vendor technology limits the authority’s range of available choices and, as an outcome, may increase the price significantly, especially when RDBMS vendors base their licensing fees on irrelevant metrics such as number of CPU cores per server.</w:t>
            </w:r>
          </w:p>
          <w:p w:rsidR="000746B1" w:rsidRPr="00345AA8" w:rsidRDefault="000746B1" w:rsidP="00C21EA1">
            <w:pPr>
              <w:widowControl w:val="0"/>
              <w:autoSpaceDE w:val="0"/>
              <w:autoSpaceDN w:val="0"/>
              <w:adjustRightInd w:val="0"/>
              <w:spacing w:after="0"/>
            </w:pPr>
            <w:r w:rsidRPr="00345AA8">
              <w:t xml:space="preserve">Could you please confirm that bidders are free to provide any combination of RDBMS and solution for e-Learning and CPPNB they deem necessary to meet the above performance requirements? </w:t>
            </w:r>
          </w:p>
          <w:p w:rsidR="00C21EA1" w:rsidRPr="00345AA8" w:rsidRDefault="00C21EA1" w:rsidP="00C21EA1">
            <w:pPr>
              <w:widowControl w:val="0"/>
              <w:autoSpaceDE w:val="0"/>
              <w:autoSpaceDN w:val="0"/>
              <w:adjustRightInd w:val="0"/>
              <w:spacing w:after="0"/>
            </w:pPr>
            <w:r w:rsidRPr="00345AA8">
              <w:t>4. Under LOT 1, Item 1.2, Database Server, OS &amp; Software, RDBMS to support items 1.18 and 1.19, there is mention of Data Warehousing and Business Intelligence.</w:t>
            </w:r>
          </w:p>
          <w:p w:rsidR="00C21EA1" w:rsidRPr="00345AA8" w:rsidRDefault="00C21EA1" w:rsidP="00C21EA1">
            <w:pPr>
              <w:widowControl w:val="0"/>
              <w:autoSpaceDE w:val="0"/>
              <w:autoSpaceDN w:val="0"/>
              <w:adjustRightInd w:val="0"/>
              <w:spacing w:after="0"/>
            </w:pPr>
            <w:r w:rsidRPr="00345AA8">
              <w:t>“Data Warehousing and Business Intelligence: Partitioning, parallel query processing on partitioned tables and indices, Data Mining Tools, Models on</w:t>
            </w:r>
          </w:p>
          <w:p w:rsidR="00C21EA1" w:rsidRPr="00345AA8" w:rsidRDefault="00C21EA1" w:rsidP="00C21EA1">
            <w:pPr>
              <w:widowControl w:val="0"/>
              <w:autoSpaceDE w:val="0"/>
              <w:autoSpaceDN w:val="0"/>
              <w:adjustRightInd w:val="0"/>
              <w:spacing w:after="0"/>
            </w:pPr>
            <w:r w:rsidRPr="00345AA8">
              <w:t>Filtered Subsets of Mining Structure Data, Unlimited Concurrent DM Queries, Advanced Configuration &amp; Tuning Options for Data Mining Algorithms, Semantic model, Advanced analytics”</w:t>
            </w:r>
          </w:p>
          <w:p w:rsidR="000746B1" w:rsidRPr="00345AA8" w:rsidRDefault="00C21EA1" w:rsidP="00C21EA1">
            <w:pPr>
              <w:widowControl w:val="0"/>
              <w:autoSpaceDE w:val="0"/>
              <w:autoSpaceDN w:val="0"/>
              <w:adjustRightInd w:val="0"/>
              <w:spacing w:after="0"/>
            </w:pPr>
            <w:r w:rsidRPr="00345AA8">
              <w:t>a. Is this merely a description of the capability and features of the RBDMS software that CARICOM</w:t>
            </w:r>
            <w:r w:rsidR="00441D45" w:rsidRPr="00345AA8">
              <w:t xml:space="preserve"> </w:t>
            </w:r>
            <w:r w:rsidRPr="00345AA8">
              <w:t>requires?</w:t>
            </w:r>
          </w:p>
          <w:p w:rsidR="00C21EA1" w:rsidRPr="00345AA8" w:rsidRDefault="00C21EA1" w:rsidP="00C21EA1">
            <w:pPr>
              <w:widowControl w:val="0"/>
              <w:autoSpaceDE w:val="0"/>
              <w:autoSpaceDN w:val="0"/>
              <w:adjustRightInd w:val="0"/>
              <w:spacing w:after="0"/>
            </w:pPr>
            <w:r w:rsidRPr="00345AA8">
              <w:t>b. Does CARICOM expect vendors to propose implementation services to build/configure a data</w:t>
            </w:r>
            <w:r w:rsidR="00441D45" w:rsidRPr="00345AA8">
              <w:t xml:space="preserve"> </w:t>
            </w:r>
            <w:r w:rsidRPr="00345AA8">
              <w:t>warehouse and business intelligence tools mentioned under this requirement?</w:t>
            </w:r>
          </w:p>
          <w:p w:rsidR="00C21EA1" w:rsidRPr="00345AA8" w:rsidRDefault="00C21EA1" w:rsidP="00C21EA1">
            <w:pPr>
              <w:widowControl w:val="0"/>
              <w:autoSpaceDE w:val="0"/>
              <w:autoSpaceDN w:val="0"/>
              <w:adjustRightInd w:val="0"/>
              <w:spacing w:after="0"/>
            </w:pPr>
            <w:r w:rsidRPr="00345AA8">
              <w:t>Please clarify exactly what CARICOM expect vendors to provide for this requirement.</w:t>
            </w:r>
          </w:p>
          <w:p w:rsidR="00293156" w:rsidRPr="00345AA8" w:rsidRDefault="009C2755" w:rsidP="009C2755">
            <w:pPr>
              <w:widowControl w:val="0"/>
              <w:autoSpaceDE w:val="0"/>
              <w:autoSpaceDN w:val="0"/>
              <w:adjustRightInd w:val="0"/>
              <w:spacing w:after="0"/>
            </w:pPr>
            <w:r w:rsidRPr="00345AA8">
              <w:rPr>
                <w:color w:val="282828"/>
              </w:rPr>
              <w:t>5. Within Technical Specification the acronym RDBMS is stated. Can you please confirm its definition?</w:t>
            </w:r>
          </w:p>
        </w:tc>
      </w:tr>
      <w:tr w:rsidR="00D95CF7" w:rsidRPr="00345AA8" w:rsidTr="00293156">
        <w:trPr>
          <w:jc w:val="center"/>
        </w:trPr>
        <w:tc>
          <w:tcPr>
            <w:tcW w:w="1439" w:type="pct"/>
            <w:tcBorders>
              <w:top w:val="single" w:sz="4" w:space="0" w:color="auto"/>
              <w:left w:val="single" w:sz="4" w:space="0" w:color="auto"/>
              <w:bottom w:val="single" w:sz="4" w:space="0" w:color="auto"/>
              <w:right w:val="single" w:sz="4" w:space="0" w:color="auto"/>
            </w:tcBorders>
            <w:shd w:val="clear" w:color="auto" w:fill="E0E0E0"/>
          </w:tcPr>
          <w:p w:rsidR="00D95CF7" w:rsidRPr="00345AA8" w:rsidRDefault="00D95CF7" w:rsidP="00293156">
            <w:pPr>
              <w:spacing w:before="60"/>
            </w:pPr>
            <w:r w:rsidRPr="00345AA8">
              <w:lastRenderedPageBreak/>
              <w:t>Answer</w:t>
            </w:r>
          </w:p>
        </w:tc>
        <w:tc>
          <w:tcPr>
            <w:tcW w:w="3561" w:type="pct"/>
            <w:tcBorders>
              <w:top w:val="single" w:sz="4" w:space="0" w:color="auto"/>
              <w:left w:val="single" w:sz="4" w:space="0" w:color="auto"/>
              <w:bottom w:val="single" w:sz="4" w:space="0" w:color="auto"/>
              <w:right w:val="single" w:sz="4" w:space="0" w:color="auto"/>
            </w:tcBorders>
          </w:tcPr>
          <w:p w:rsidR="00D95CF7" w:rsidRPr="00345AA8" w:rsidRDefault="00C21EA1" w:rsidP="00D95CF7">
            <w:pPr>
              <w:spacing w:after="0"/>
            </w:pPr>
            <w:r w:rsidRPr="00345AA8">
              <w:t xml:space="preserve">1. </w:t>
            </w:r>
            <w:r w:rsidR="00D95CF7" w:rsidRPr="00345AA8">
              <w:t>RDBMS is to support items 1.18 and 1.19 only.</w:t>
            </w:r>
          </w:p>
          <w:p w:rsidR="00D95CF7" w:rsidRPr="00345AA8" w:rsidRDefault="00C21EA1" w:rsidP="00C21EA1">
            <w:pPr>
              <w:spacing w:after="0"/>
            </w:pPr>
            <w:r w:rsidRPr="00345AA8">
              <w:t xml:space="preserve">2. </w:t>
            </w:r>
            <w:r w:rsidR="00E82DA2" w:rsidRPr="00345AA8">
              <w:t>Please see the Corrigendum No. 1 to the Tender Dossier.</w:t>
            </w:r>
          </w:p>
          <w:p w:rsidR="00441D45" w:rsidRPr="00345AA8" w:rsidRDefault="00441D45" w:rsidP="00C21EA1">
            <w:pPr>
              <w:spacing w:after="0"/>
              <w:rPr>
                <w:b/>
              </w:rPr>
            </w:pPr>
            <w:r w:rsidRPr="00345AA8">
              <w:t>3.</w:t>
            </w:r>
            <w:r w:rsidR="003D5BF7" w:rsidRPr="00345AA8">
              <w:t xml:space="preserve"> </w:t>
            </w:r>
            <w:r w:rsidR="00E82DA2" w:rsidRPr="00345AA8">
              <w:t>Please see the Corrigendum No. 1 to the Tender Dossier.</w:t>
            </w:r>
            <w:r w:rsidR="00780ECC" w:rsidRPr="00345AA8">
              <w:t xml:space="preserve"> Bidders are free to provide any combination of RDBMS and solution for e-Learning and </w:t>
            </w:r>
            <w:r w:rsidR="00780ECC" w:rsidRPr="00345AA8">
              <w:lastRenderedPageBreak/>
              <w:t xml:space="preserve">CPPNB as long as they meet all requirements specified under </w:t>
            </w:r>
            <w:r w:rsidR="00B87C06" w:rsidRPr="00345AA8">
              <w:t xml:space="preserve">items </w:t>
            </w:r>
            <w:r w:rsidR="00780ECC" w:rsidRPr="00345AA8">
              <w:t xml:space="preserve">1.2, 1.18 and 1.19. </w:t>
            </w:r>
          </w:p>
          <w:p w:rsidR="00441D45" w:rsidRPr="00345AA8" w:rsidRDefault="00441D45" w:rsidP="00C21EA1">
            <w:pPr>
              <w:spacing w:after="0"/>
            </w:pPr>
            <w:r w:rsidRPr="00345AA8">
              <w:t xml:space="preserve">4. </w:t>
            </w:r>
            <w:r w:rsidR="003D5BF7" w:rsidRPr="00345AA8">
              <w:t>a. yes</w:t>
            </w:r>
          </w:p>
          <w:p w:rsidR="003D5BF7" w:rsidRPr="00345AA8" w:rsidRDefault="003D5BF7" w:rsidP="00C21EA1">
            <w:pPr>
              <w:spacing w:after="0"/>
            </w:pPr>
            <w:r w:rsidRPr="00345AA8">
              <w:t xml:space="preserve">    b. no</w:t>
            </w:r>
          </w:p>
          <w:p w:rsidR="009C2755" w:rsidRPr="00345AA8" w:rsidRDefault="009C2755" w:rsidP="00C21EA1">
            <w:pPr>
              <w:spacing w:after="0"/>
              <w:rPr>
                <w:b/>
              </w:rPr>
            </w:pPr>
            <w:r w:rsidRPr="00345AA8">
              <w:t xml:space="preserve">5. </w:t>
            </w:r>
            <w:r w:rsidR="00A64BDD" w:rsidRPr="00345AA8">
              <w:rPr>
                <w:color w:val="282828"/>
              </w:rPr>
              <w:t>A relational database management system</w:t>
            </w:r>
          </w:p>
        </w:tc>
      </w:tr>
    </w:tbl>
    <w:p w:rsidR="00BB3FA5" w:rsidRPr="00345AA8" w:rsidRDefault="00BB3FA5" w:rsidP="00D03D5F">
      <w:pPr>
        <w:pStyle w:val="Clarification"/>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BB3FA5" w:rsidRPr="00345AA8" w:rsidTr="00BB3FA5">
        <w:trPr>
          <w:jc w:val="center"/>
        </w:trPr>
        <w:tc>
          <w:tcPr>
            <w:tcW w:w="1439" w:type="pct"/>
            <w:shd w:val="clear" w:color="auto" w:fill="E0E0E0"/>
          </w:tcPr>
          <w:p w:rsidR="00BB3FA5" w:rsidRPr="00345AA8" w:rsidRDefault="00BB3FA5" w:rsidP="00BB3FA5">
            <w:pPr>
              <w:spacing w:before="60"/>
            </w:pPr>
            <w:r w:rsidRPr="00345AA8">
              <w:t>Document/Section/Page Reference</w:t>
            </w:r>
          </w:p>
        </w:tc>
        <w:tc>
          <w:tcPr>
            <w:tcW w:w="3561" w:type="pct"/>
          </w:tcPr>
          <w:p w:rsidR="00BB3FA5" w:rsidRPr="00345AA8" w:rsidRDefault="00BB3FA5" w:rsidP="00BB3FA5">
            <w:pPr>
              <w:spacing w:before="60"/>
            </w:pPr>
            <w:r w:rsidRPr="00345AA8">
              <w:t xml:space="preserve">Annex II and III- Technical Specifications CPPNB - Final (2) </w:t>
            </w:r>
            <w:proofErr w:type="spellStart"/>
            <w:r w:rsidRPr="00345AA8">
              <w:t>cj</w:t>
            </w:r>
            <w:proofErr w:type="spellEnd"/>
          </w:p>
        </w:tc>
      </w:tr>
      <w:tr w:rsidR="00BB3FA5" w:rsidRPr="00345AA8" w:rsidTr="00BB3FA5">
        <w:trPr>
          <w:jc w:val="center"/>
        </w:trPr>
        <w:tc>
          <w:tcPr>
            <w:tcW w:w="1439" w:type="pct"/>
            <w:shd w:val="clear" w:color="auto" w:fill="E0E0E0"/>
          </w:tcPr>
          <w:p w:rsidR="00BB3FA5" w:rsidRPr="00345AA8" w:rsidRDefault="00BB3FA5" w:rsidP="00BB3FA5">
            <w:pPr>
              <w:spacing w:before="60"/>
            </w:pPr>
            <w:r w:rsidRPr="00345AA8">
              <w:t>Topic in Document</w:t>
            </w:r>
          </w:p>
        </w:tc>
        <w:tc>
          <w:tcPr>
            <w:tcW w:w="3561" w:type="pct"/>
          </w:tcPr>
          <w:p w:rsidR="00BB3FA5" w:rsidRPr="00345AA8" w:rsidRDefault="00D10130" w:rsidP="00A82A02">
            <w:pPr>
              <w:spacing w:before="60"/>
              <w:rPr>
                <w:b/>
                <w:bCs/>
              </w:rPr>
            </w:pPr>
            <w:r w:rsidRPr="00345AA8">
              <w:t>Software for system monitoring and management</w:t>
            </w:r>
          </w:p>
        </w:tc>
      </w:tr>
      <w:tr w:rsidR="00BB3FA5" w:rsidRPr="00345AA8" w:rsidTr="00BB3FA5">
        <w:trPr>
          <w:trHeight w:val="251"/>
          <w:jc w:val="center"/>
        </w:trPr>
        <w:tc>
          <w:tcPr>
            <w:tcW w:w="1439" w:type="pct"/>
            <w:shd w:val="clear" w:color="auto" w:fill="E0E0E0"/>
          </w:tcPr>
          <w:p w:rsidR="00BB3FA5" w:rsidRPr="00345AA8" w:rsidRDefault="00BB3FA5" w:rsidP="00BB3FA5">
            <w:pPr>
              <w:spacing w:before="60"/>
            </w:pPr>
            <w:r w:rsidRPr="00345AA8">
              <w:t>Passage in Document</w:t>
            </w:r>
          </w:p>
        </w:tc>
        <w:tc>
          <w:tcPr>
            <w:tcW w:w="3561" w:type="pct"/>
          </w:tcPr>
          <w:p w:rsidR="00BB3FA5" w:rsidRPr="00345AA8" w:rsidRDefault="00026C79" w:rsidP="00BB3FA5">
            <w:pPr>
              <w:spacing w:before="60"/>
            </w:pPr>
            <w:r w:rsidRPr="00345AA8">
              <w:t>Lot 1 Item 1.16</w:t>
            </w:r>
          </w:p>
        </w:tc>
      </w:tr>
      <w:tr w:rsidR="00BB3FA5" w:rsidRPr="00345AA8" w:rsidTr="00BB3FA5">
        <w:trPr>
          <w:jc w:val="center"/>
        </w:trPr>
        <w:tc>
          <w:tcPr>
            <w:tcW w:w="1439" w:type="pct"/>
            <w:shd w:val="clear" w:color="auto" w:fill="E0E0E0"/>
          </w:tcPr>
          <w:p w:rsidR="00BB3FA5" w:rsidRPr="00345AA8" w:rsidRDefault="00BB3FA5" w:rsidP="00BB3FA5">
            <w:pPr>
              <w:spacing w:before="60"/>
            </w:pPr>
            <w:r w:rsidRPr="00345AA8">
              <w:t>Tenderer’s Question</w:t>
            </w:r>
          </w:p>
        </w:tc>
        <w:tc>
          <w:tcPr>
            <w:tcW w:w="3561" w:type="pct"/>
          </w:tcPr>
          <w:p w:rsidR="00026C79" w:rsidRPr="00345AA8" w:rsidRDefault="00026C79" w:rsidP="00026C79">
            <w:pPr>
              <w:widowControl w:val="0"/>
              <w:autoSpaceDE w:val="0"/>
              <w:autoSpaceDN w:val="0"/>
              <w:adjustRightInd w:val="0"/>
              <w:spacing w:after="0"/>
            </w:pPr>
            <w:r w:rsidRPr="00345AA8">
              <w:t>1. Would the workstation and notebooks be monitored as well?</w:t>
            </w:r>
          </w:p>
          <w:p w:rsidR="00026C79" w:rsidRPr="00345AA8" w:rsidRDefault="00026C79" w:rsidP="00026C79">
            <w:pPr>
              <w:widowControl w:val="0"/>
              <w:autoSpaceDE w:val="0"/>
              <w:autoSpaceDN w:val="0"/>
              <w:adjustRightInd w:val="0"/>
              <w:spacing w:after="0"/>
            </w:pPr>
            <w:r w:rsidRPr="00345AA8">
              <w:t>a. If so, what type of monitoring information is needed?</w:t>
            </w:r>
          </w:p>
          <w:p w:rsidR="00BB3FA5" w:rsidRPr="00345AA8" w:rsidRDefault="00026C79" w:rsidP="00026C79">
            <w:pPr>
              <w:widowControl w:val="0"/>
              <w:autoSpaceDE w:val="0"/>
              <w:autoSpaceDN w:val="0"/>
              <w:adjustRightInd w:val="0"/>
              <w:spacing w:after="0"/>
            </w:pPr>
            <w:r w:rsidRPr="00345AA8">
              <w:t>2. With regard to Lot 1.16, will monitoring be required for the DR site as well?</w:t>
            </w:r>
          </w:p>
          <w:p w:rsidR="00A35E66" w:rsidRPr="00345AA8" w:rsidRDefault="00A35E66" w:rsidP="00A35E66">
            <w:pPr>
              <w:widowControl w:val="0"/>
              <w:autoSpaceDE w:val="0"/>
              <w:autoSpaceDN w:val="0"/>
              <w:adjustRightInd w:val="0"/>
              <w:spacing w:after="0"/>
            </w:pPr>
            <w:r w:rsidRPr="00345AA8">
              <w:t>3. Is the Disaster Recovery site to be monitored using the Software for system monitoring and management specified in Lot 1?</w:t>
            </w:r>
          </w:p>
        </w:tc>
      </w:tr>
      <w:tr w:rsidR="00BB3FA5" w:rsidRPr="00345AA8" w:rsidTr="00BB3FA5">
        <w:trPr>
          <w:jc w:val="center"/>
        </w:trPr>
        <w:tc>
          <w:tcPr>
            <w:tcW w:w="1439" w:type="pct"/>
            <w:shd w:val="clear" w:color="auto" w:fill="E0E0E0"/>
          </w:tcPr>
          <w:p w:rsidR="00BB3FA5" w:rsidRPr="00345AA8" w:rsidRDefault="00BB3FA5" w:rsidP="00BB3FA5">
            <w:pPr>
              <w:spacing w:before="60"/>
            </w:pPr>
            <w:r w:rsidRPr="00345AA8">
              <w:t>Answer</w:t>
            </w:r>
          </w:p>
        </w:tc>
        <w:tc>
          <w:tcPr>
            <w:tcW w:w="3561" w:type="pct"/>
          </w:tcPr>
          <w:p w:rsidR="00BB3FA5" w:rsidRPr="00345AA8" w:rsidRDefault="00026C79" w:rsidP="00026C79">
            <w:r w:rsidRPr="00345AA8">
              <w:t>1. No</w:t>
            </w:r>
          </w:p>
          <w:p w:rsidR="00026C79" w:rsidRPr="00345AA8" w:rsidRDefault="00622D6E" w:rsidP="00026C79">
            <w:r w:rsidRPr="00345AA8">
              <w:t>2. Yes</w:t>
            </w:r>
          </w:p>
          <w:p w:rsidR="00A35E66" w:rsidRPr="00345AA8" w:rsidRDefault="00A35E66" w:rsidP="00026C79">
            <w:r w:rsidRPr="00345AA8">
              <w:t xml:space="preserve">3. </w:t>
            </w:r>
            <w:r w:rsidR="00622D6E" w:rsidRPr="00345AA8">
              <w:t>Yes</w:t>
            </w:r>
          </w:p>
        </w:tc>
      </w:tr>
    </w:tbl>
    <w:p w:rsidR="00D03D5F" w:rsidRPr="00345AA8" w:rsidRDefault="00D03D5F" w:rsidP="00D03D5F">
      <w:pPr>
        <w:pStyle w:val="Clarification"/>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D03D5F" w:rsidRPr="00345AA8" w:rsidTr="00D03D5F">
        <w:trPr>
          <w:jc w:val="center"/>
        </w:trPr>
        <w:tc>
          <w:tcPr>
            <w:tcW w:w="1439" w:type="pct"/>
            <w:shd w:val="clear" w:color="auto" w:fill="E0E0E0"/>
          </w:tcPr>
          <w:p w:rsidR="00D03D5F" w:rsidRPr="00345AA8" w:rsidRDefault="00D03D5F" w:rsidP="00D03D5F">
            <w:pPr>
              <w:spacing w:before="60"/>
            </w:pPr>
            <w:r w:rsidRPr="00345AA8">
              <w:t>Document/Section/Page Reference</w:t>
            </w:r>
          </w:p>
        </w:tc>
        <w:tc>
          <w:tcPr>
            <w:tcW w:w="3561" w:type="pct"/>
          </w:tcPr>
          <w:p w:rsidR="00D03D5F" w:rsidRPr="00345AA8" w:rsidRDefault="00D03D5F" w:rsidP="00D03D5F">
            <w:pPr>
              <w:spacing w:before="60"/>
            </w:pPr>
            <w:r w:rsidRPr="00345AA8">
              <w:t xml:space="preserve">Annex II and III- Technical Specifications CPPNB - Final (2) </w:t>
            </w:r>
            <w:proofErr w:type="spellStart"/>
            <w:r w:rsidRPr="00345AA8">
              <w:t>cj</w:t>
            </w:r>
            <w:proofErr w:type="spellEnd"/>
          </w:p>
        </w:tc>
      </w:tr>
      <w:tr w:rsidR="00D03D5F" w:rsidRPr="00345AA8" w:rsidTr="00D03D5F">
        <w:trPr>
          <w:jc w:val="center"/>
        </w:trPr>
        <w:tc>
          <w:tcPr>
            <w:tcW w:w="1439" w:type="pct"/>
            <w:shd w:val="clear" w:color="auto" w:fill="E0E0E0"/>
          </w:tcPr>
          <w:p w:rsidR="00D03D5F" w:rsidRPr="00345AA8" w:rsidRDefault="00D03D5F" w:rsidP="00D03D5F">
            <w:pPr>
              <w:spacing w:before="60"/>
            </w:pPr>
            <w:r w:rsidRPr="00345AA8">
              <w:t>Topic in Document</w:t>
            </w:r>
          </w:p>
        </w:tc>
        <w:tc>
          <w:tcPr>
            <w:tcW w:w="3561" w:type="pct"/>
          </w:tcPr>
          <w:p w:rsidR="00D03D5F" w:rsidRPr="00345AA8" w:rsidRDefault="00ED08B1" w:rsidP="00A82A02">
            <w:pPr>
              <w:spacing w:before="60"/>
              <w:rPr>
                <w:bCs/>
              </w:rPr>
            </w:pPr>
            <w:r w:rsidRPr="00345AA8">
              <w:t>Disaster recovery</w:t>
            </w:r>
          </w:p>
        </w:tc>
      </w:tr>
      <w:tr w:rsidR="00D03D5F" w:rsidRPr="00345AA8" w:rsidTr="00D03D5F">
        <w:trPr>
          <w:trHeight w:val="251"/>
          <w:jc w:val="center"/>
        </w:trPr>
        <w:tc>
          <w:tcPr>
            <w:tcW w:w="1439" w:type="pct"/>
            <w:shd w:val="clear" w:color="auto" w:fill="E0E0E0"/>
          </w:tcPr>
          <w:p w:rsidR="00D03D5F" w:rsidRPr="00345AA8" w:rsidRDefault="00D03D5F" w:rsidP="00D03D5F">
            <w:pPr>
              <w:spacing w:before="60"/>
            </w:pPr>
            <w:r w:rsidRPr="00345AA8">
              <w:t>Passage in Document</w:t>
            </w:r>
          </w:p>
        </w:tc>
        <w:tc>
          <w:tcPr>
            <w:tcW w:w="3561" w:type="pct"/>
          </w:tcPr>
          <w:p w:rsidR="00D03D5F" w:rsidRPr="00345AA8" w:rsidRDefault="003D3E74" w:rsidP="003D3E74">
            <w:pPr>
              <w:spacing w:before="60"/>
            </w:pPr>
            <w:r w:rsidRPr="00345AA8">
              <w:t>Lot 1, page 3</w:t>
            </w:r>
          </w:p>
        </w:tc>
      </w:tr>
      <w:tr w:rsidR="00D03D5F" w:rsidRPr="00345AA8" w:rsidTr="00D03D5F">
        <w:trPr>
          <w:jc w:val="center"/>
        </w:trPr>
        <w:tc>
          <w:tcPr>
            <w:tcW w:w="1439" w:type="pct"/>
            <w:shd w:val="clear" w:color="auto" w:fill="E0E0E0"/>
          </w:tcPr>
          <w:p w:rsidR="00D03D5F" w:rsidRPr="00345AA8" w:rsidRDefault="00D03D5F" w:rsidP="00D03D5F">
            <w:pPr>
              <w:spacing w:before="60"/>
            </w:pPr>
            <w:r w:rsidRPr="00345AA8">
              <w:t>Tenderer’s Question</w:t>
            </w:r>
          </w:p>
        </w:tc>
        <w:tc>
          <w:tcPr>
            <w:tcW w:w="3561" w:type="pct"/>
          </w:tcPr>
          <w:p w:rsidR="003D3E74" w:rsidRPr="00345AA8" w:rsidRDefault="003D3E74" w:rsidP="003D3E74">
            <w:pPr>
              <w:widowControl w:val="0"/>
              <w:autoSpaceDE w:val="0"/>
              <w:autoSpaceDN w:val="0"/>
              <w:adjustRightInd w:val="0"/>
              <w:spacing w:after="0"/>
            </w:pPr>
            <w:r w:rsidRPr="00345AA8">
              <w:t>1. What RPO and RTO is expected for the Disaster Recovery sites?</w:t>
            </w:r>
          </w:p>
          <w:p w:rsidR="00D03D5F" w:rsidRPr="00345AA8" w:rsidRDefault="003D3E74" w:rsidP="003D3E74">
            <w:r w:rsidRPr="00345AA8">
              <w:t>2. What is the bandwidth of the link to be used for real time synchronization between DR sites?</w:t>
            </w:r>
          </w:p>
        </w:tc>
      </w:tr>
      <w:tr w:rsidR="00D03D5F" w:rsidRPr="00345AA8" w:rsidTr="00D03D5F">
        <w:trPr>
          <w:jc w:val="center"/>
        </w:trPr>
        <w:tc>
          <w:tcPr>
            <w:tcW w:w="1439" w:type="pct"/>
            <w:shd w:val="clear" w:color="auto" w:fill="E0E0E0"/>
          </w:tcPr>
          <w:p w:rsidR="00D03D5F" w:rsidRPr="00345AA8" w:rsidRDefault="00D03D5F" w:rsidP="00D03D5F">
            <w:pPr>
              <w:spacing w:before="60"/>
            </w:pPr>
            <w:r w:rsidRPr="00345AA8">
              <w:t>Answer</w:t>
            </w:r>
          </w:p>
        </w:tc>
        <w:tc>
          <w:tcPr>
            <w:tcW w:w="3561" w:type="pct"/>
          </w:tcPr>
          <w:p w:rsidR="003D3E74" w:rsidRPr="00345AA8" w:rsidRDefault="003D3E74" w:rsidP="003D3E74">
            <w:pPr>
              <w:widowControl w:val="0"/>
              <w:autoSpaceDE w:val="0"/>
              <w:autoSpaceDN w:val="0"/>
              <w:adjustRightInd w:val="0"/>
              <w:spacing w:after="0"/>
            </w:pPr>
            <w:r w:rsidRPr="00345AA8">
              <w:t>1. 12 hours both</w:t>
            </w:r>
          </w:p>
          <w:p w:rsidR="003D3E74" w:rsidRPr="00345AA8" w:rsidRDefault="003D3E74" w:rsidP="00DA5E59">
            <w:pPr>
              <w:widowControl w:val="0"/>
              <w:autoSpaceDE w:val="0"/>
              <w:autoSpaceDN w:val="0"/>
              <w:adjustRightInd w:val="0"/>
              <w:spacing w:after="0"/>
            </w:pPr>
            <w:r w:rsidRPr="00345AA8">
              <w:t xml:space="preserve">2. </w:t>
            </w:r>
            <w:r w:rsidR="00DA5E59" w:rsidRPr="00345AA8">
              <w:t>More than 5</w:t>
            </w:r>
            <w:r w:rsidR="00622D6E" w:rsidRPr="00345AA8">
              <w:t xml:space="preserve"> MB DIA</w:t>
            </w:r>
          </w:p>
        </w:tc>
      </w:tr>
    </w:tbl>
    <w:p w:rsidR="00D03D5F" w:rsidRPr="00345AA8" w:rsidRDefault="00D03D5F" w:rsidP="00D03D5F">
      <w:pPr>
        <w:pStyle w:val="Clarification"/>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D03D5F" w:rsidRPr="00345AA8" w:rsidTr="00D03D5F">
        <w:trPr>
          <w:jc w:val="center"/>
        </w:trPr>
        <w:tc>
          <w:tcPr>
            <w:tcW w:w="1439" w:type="pct"/>
            <w:shd w:val="clear" w:color="auto" w:fill="E0E0E0"/>
          </w:tcPr>
          <w:p w:rsidR="00D03D5F" w:rsidRPr="00345AA8" w:rsidRDefault="00D03D5F" w:rsidP="00D03D5F">
            <w:pPr>
              <w:spacing w:before="60"/>
            </w:pPr>
            <w:r w:rsidRPr="00345AA8">
              <w:t>Document/Section/Page Reference</w:t>
            </w:r>
          </w:p>
        </w:tc>
        <w:tc>
          <w:tcPr>
            <w:tcW w:w="3561" w:type="pct"/>
          </w:tcPr>
          <w:p w:rsidR="00D03D5F" w:rsidRPr="00345AA8" w:rsidRDefault="00D03D5F" w:rsidP="00D03D5F">
            <w:pPr>
              <w:spacing w:before="60"/>
            </w:pPr>
            <w:r w:rsidRPr="00345AA8">
              <w:t xml:space="preserve">Annex II and III- Technical Specifications CPPNB - Final (2) </w:t>
            </w:r>
            <w:proofErr w:type="spellStart"/>
            <w:r w:rsidRPr="00345AA8">
              <w:t>cj</w:t>
            </w:r>
            <w:proofErr w:type="spellEnd"/>
          </w:p>
        </w:tc>
      </w:tr>
      <w:tr w:rsidR="00D03D5F" w:rsidRPr="00345AA8" w:rsidTr="00D03D5F">
        <w:trPr>
          <w:jc w:val="center"/>
        </w:trPr>
        <w:tc>
          <w:tcPr>
            <w:tcW w:w="1439" w:type="pct"/>
            <w:shd w:val="clear" w:color="auto" w:fill="E0E0E0"/>
          </w:tcPr>
          <w:p w:rsidR="00D03D5F" w:rsidRPr="00345AA8" w:rsidRDefault="00D03D5F" w:rsidP="00D03D5F">
            <w:pPr>
              <w:spacing w:before="60"/>
            </w:pPr>
            <w:r w:rsidRPr="00345AA8">
              <w:t>Topic in Document</w:t>
            </w:r>
          </w:p>
        </w:tc>
        <w:tc>
          <w:tcPr>
            <w:tcW w:w="3561" w:type="pct"/>
          </w:tcPr>
          <w:p w:rsidR="00D03D5F" w:rsidRPr="00345AA8" w:rsidRDefault="009D7063" w:rsidP="00A82A02">
            <w:pPr>
              <w:spacing w:before="60"/>
              <w:rPr>
                <w:b/>
                <w:bCs/>
              </w:rPr>
            </w:pPr>
            <w:r w:rsidRPr="00345AA8">
              <w:t>Warranty, software support, r</w:t>
            </w:r>
            <w:r w:rsidR="00A82A02" w:rsidRPr="00345AA8">
              <w:t>esponse/repair time</w:t>
            </w:r>
          </w:p>
        </w:tc>
      </w:tr>
      <w:tr w:rsidR="00D03D5F" w:rsidRPr="00345AA8" w:rsidTr="00D03D5F">
        <w:trPr>
          <w:trHeight w:val="251"/>
          <w:jc w:val="center"/>
        </w:trPr>
        <w:tc>
          <w:tcPr>
            <w:tcW w:w="1439" w:type="pct"/>
            <w:shd w:val="clear" w:color="auto" w:fill="E0E0E0"/>
          </w:tcPr>
          <w:p w:rsidR="00D03D5F" w:rsidRPr="00345AA8" w:rsidRDefault="00D03D5F" w:rsidP="00D03D5F">
            <w:pPr>
              <w:spacing w:before="60"/>
            </w:pPr>
            <w:r w:rsidRPr="00345AA8">
              <w:t>Passage in Document</w:t>
            </w:r>
          </w:p>
        </w:tc>
        <w:tc>
          <w:tcPr>
            <w:tcW w:w="3561" w:type="pct"/>
          </w:tcPr>
          <w:p w:rsidR="00D03D5F" w:rsidRPr="00345AA8" w:rsidRDefault="00A82A02" w:rsidP="00D03D5F">
            <w:pPr>
              <w:spacing w:before="60"/>
            </w:pPr>
            <w:r w:rsidRPr="00345AA8">
              <w:t>Lot 1, page</w:t>
            </w:r>
            <w:r w:rsidR="0030478E" w:rsidRPr="00345AA8">
              <w:t xml:space="preserve"> 4 and </w:t>
            </w:r>
            <w:r w:rsidRPr="00345AA8">
              <w:t>5</w:t>
            </w:r>
          </w:p>
          <w:p w:rsidR="00A82A02" w:rsidRPr="00345AA8" w:rsidRDefault="00A82A02" w:rsidP="00D03D5F">
            <w:pPr>
              <w:spacing w:before="60"/>
            </w:pPr>
            <w:r w:rsidRPr="00345AA8">
              <w:t>Warranty for each item</w:t>
            </w:r>
          </w:p>
        </w:tc>
      </w:tr>
      <w:tr w:rsidR="00D03D5F" w:rsidRPr="00345AA8" w:rsidTr="00D03D5F">
        <w:trPr>
          <w:jc w:val="center"/>
        </w:trPr>
        <w:tc>
          <w:tcPr>
            <w:tcW w:w="1439" w:type="pct"/>
            <w:shd w:val="clear" w:color="auto" w:fill="E0E0E0"/>
          </w:tcPr>
          <w:p w:rsidR="00D03D5F" w:rsidRPr="00345AA8" w:rsidRDefault="00D03D5F" w:rsidP="00D03D5F">
            <w:pPr>
              <w:spacing w:before="60"/>
            </w:pPr>
            <w:r w:rsidRPr="00345AA8">
              <w:t>Tenderer’s Question</w:t>
            </w:r>
          </w:p>
        </w:tc>
        <w:tc>
          <w:tcPr>
            <w:tcW w:w="3561" w:type="pct"/>
          </w:tcPr>
          <w:p w:rsidR="00D03D5F" w:rsidRPr="00345AA8" w:rsidRDefault="0030478E" w:rsidP="00495DA3">
            <w:pPr>
              <w:widowControl w:val="0"/>
              <w:autoSpaceDE w:val="0"/>
              <w:autoSpaceDN w:val="0"/>
              <w:adjustRightInd w:val="0"/>
              <w:spacing w:after="0"/>
            </w:pPr>
            <w:r w:rsidRPr="00345AA8">
              <w:t xml:space="preserve">1. </w:t>
            </w:r>
            <w:r w:rsidR="00495DA3" w:rsidRPr="00345AA8">
              <w:t>Which of the two Response/Repair times is the more accurate: “maximum response time of 1 business day and maximum time for repair of 3 business days or the table given on page 5 of “Technical Specifications + Technical Offer”?</w:t>
            </w:r>
          </w:p>
          <w:p w:rsidR="0030478E" w:rsidRPr="00345AA8" w:rsidRDefault="0030478E" w:rsidP="0030478E">
            <w:pPr>
              <w:widowControl w:val="0"/>
              <w:autoSpaceDE w:val="0"/>
              <w:autoSpaceDN w:val="0"/>
              <w:adjustRightInd w:val="0"/>
              <w:spacing w:after="0"/>
              <w:jc w:val="left"/>
            </w:pPr>
            <w:r w:rsidRPr="00345AA8">
              <w:t>2. Annex II &amp; III, Page 4. On-site warranty for hardware and software. There is generally no warranty on software. Please clarify your position.</w:t>
            </w:r>
          </w:p>
        </w:tc>
      </w:tr>
      <w:tr w:rsidR="00D03D5F" w:rsidRPr="00345AA8" w:rsidTr="00D03D5F">
        <w:trPr>
          <w:jc w:val="center"/>
        </w:trPr>
        <w:tc>
          <w:tcPr>
            <w:tcW w:w="1439" w:type="pct"/>
            <w:shd w:val="clear" w:color="auto" w:fill="E0E0E0"/>
          </w:tcPr>
          <w:p w:rsidR="00D03D5F" w:rsidRPr="00345AA8" w:rsidRDefault="00D03D5F" w:rsidP="00D03D5F">
            <w:pPr>
              <w:spacing w:before="60"/>
            </w:pPr>
            <w:r w:rsidRPr="00345AA8">
              <w:t>Answer</w:t>
            </w:r>
          </w:p>
        </w:tc>
        <w:tc>
          <w:tcPr>
            <w:tcW w:w="3561" w:type="pct"/>
          </w:tcPr>
          <w:p w:rsidR="00D03D5F" w:rsidRPr="00345AA8" w:rsidRDefault="0030478E" w:rsidP="00B45EA8">
            <w:pPr>
              <w:spacing w:after="0"/>
            </w:pPr>
            <w:r w:rsidRPr="00345AA8">
              <w:t xml:space="preserve">1. </w:t>
            </w:r>
            <w:r w:rsidR="00A82A02" w:rsidRPr="00345AA8">
              <w:t>M</w:t>
            </w:r>
            <w:r w:rsidR="00385B79" w:rsidRPr="00345AA8">
              <w:t>aximum response time of 1 business day and maximum time for repair of 3 business days applies to all items, except for the CPPNB</w:t>
            </w:r>
            <w:r w:rsidR="000A2FE7" w:rsidRPr="00345AA8">
              <w:t xml:space="preserve"> - Item 1.19 </w:t>
            </w:r>
            <w:r w:rsidR="00385B79" w:rsidRPr="00345AA8">
              <w:t>where</w:t>
            </w:r>
            <w:r w:rsidR="000A2FE7" w:rsidRPr="00345AA8">
              <w:t xml:space="preserve">, in addition, </w:t>
            </w:r>
            <w:r w:rsidR="00385B79" w:rsidRPr="00345AA8">
              <w:t>in case of C</w:t>
            </w:r>
            <w:r w:rsidR="000A2FE7" w:rsidRPr="00345AA8">
              <w:t xml:space="preserve">atastrophic failure </w:t>
            </w:r>
            <w:r w:rsidR="00385B79" w:rsidRPr="00345AA8">
              <w:t>whereby the CPPNB is unable to support business processes</w:t>
            </w:r>
            <w:r w:rsidR="000A2FE7" w:rsidRPr="00345AA8">
              <w:t xml:space="preserve">, </w:t>
            </w:r>
            <w:r w:rsidR="00A82A02" w:rsidRPr="00345AA8">
              <w:t xml:space="preserve">maximum response time of 2 hours </w:t>
            </w:r>
            <w:r w:rsidR="00A82A02" w:rsidRPr="00345AA8">
              <w:lastRenderedPageBreak/>
              <w:t>and maximum time for repair of 12 hours applies. Please see the Corrigendum No. 1 to the Tender Dossier.</w:t>
            </w:r>
          </w:p>
          <w:p w:rsidR="009D7063" w:rsidRPr="00345AA8" w:rsidRDefault="0030478E" w:rsidP="0030478E">
            <w:pPr>
              <w:spacing w:after="0"/>
            </w:pPr>
            <w:r w:rsidRPr="00345AA8">
              <w:t>2. On-site warranty for all hardware and on-site software support. Please see the Corrigendum No. 1 to the Tender Dossier.</w:t>
            </w:r>
          </w:p>
        </w:tc>
      </w:tr>
    </w:tbl>
    <w:p w:rsidR="00D03D5F" w:rsidRPr="00345AA8" w:rsidRDefault="00D03D5F" w:rsidP="00D03D5F">
      <w:pPr>
        <w:pStyle w:val="Clarification"/>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D03D5F" w:rsidRPr="00345AA8" w:rsidTr="00D03D5F">
        <w:trPr>
          <w:jc w:val="center"/>
        </w:trPr>
        <w:tc>
          <w:tcPr>
            <w:tcW w:w="1439" w:type="pct"/>
            <w:shd w:val="clear" w:color="auto" w:fill="E0E0E0"/>
          </w:tcPr>
          <w:p w:rsidR="00D03D5F" w:rsidRPr="00345AA8" w:rsidRDefault="00D03D5F" w:rsidP="00D03D5F">
            <w:pPr>
              <w:spacing w:before="60"/>
            </w:pPr>
            <w:r w:rsidRPr="00345AA8">
              <w:t>Document/Section/Page Reference</w:t>
            </w:r>
          </w:p>
        </w:tc>
        <w:tc>
          <w:tcPr>
            <w:tcW w:w="3561" w:type="pct"/>
          </w:tcPr>
          <w:p w:rsidR="00D03D5F" w:rsidRPr="00345AA8" w:rsidRDefault="00D03D5F" w:rsidP="00D03D5F">
            <w:pPr>
              <w:spacing w:before="60"/>
            </w:pPr>
            <w:r w:rsidRPr="00345AA8">
              <w:t xml:space="preserve">Annex II and III- Technical Specifications CPPNB - Final (2) </w:t>
            </w:r>
            <w:proofErr w:type="spellStart"/>
            <w:r w:rsidRPr="00345AA8">
              <w:t>cj</w:t>
            </w:r>
            <w:proofErr w:type="spellEnd"/>
          </w:p>
        </w:tc>
      </w:tr>
      <w:tr w:rsidR="00D03D5F" w:rsidRPr="00345AA8" w:rsidTr="00D03D5F">
        <w:trPr>
          <w:jc w:val="center"/>
        </w:trPr>
        <w:tc>
          <w:tcPr>
            <w:tcW w:w="1439" w:type="pct"/>
            <w:shd w:val="clear" w:color="auto" w:fill="E0E0E0"/>
          </w:tcPr>
          <w:p w:rsidR="00D03D5F" w:rsidRPr="00345AA8" w:rsidRDefault="00D03D5F" w:rsidP="00D03D5F">
            <w:pPr>
              <w:spacing w:before="60"/>
            </w:pPr>
            <w:r w:rsidRPr="00345AA8">
              <w:t>Topic in Document</w:t>
            </w:r>
          </w:p>
        </w:tc>
        <w:tc>
          <w:tcPr>
            <w:tcW w:w="3561" w:type="pct"/>
          </w:tcPr>
          <w:p w:rsidR="00D03D5F" w:rsidRPr="00345AA8" w:rsidRDefault="00FC23BD" w:rsidP="00134E78">
            <w:pPr>
              <w:spacing w:before="60"/>
            </w:pPr>
            <w:r w:rsidRPr="00345AA8">
              <w:t>Server for Service Integration Adapter</w:t>
            </w:r>
          </w:p>
        </w:tc>
      </w:tr>
      <w:tr w:rsidR="00D03D5F" w:rsidRPr="00345AA8" w:rsidTr="00D03D5F">
        <w:trPr>
          <w:trHeight w:val="251"/>
          <w:jc w:val="center"/>
        </w:trPr>
        <w:tc>
          <w:tcPr>
            <w:tcW w:w="1439" w:type="pct"/>
            <w:shd w:val="clear" w:color="auto" w:fill="E0E0E0"/>
          </w:tcPr>
          <w:p w:rsidR="00D03D5F" w:rsidRPr="00345AA8" w:rsidRDefault="00D03D5F" w:rsidP="00D03D5F">
            <w:pPr>
              <w:spacing w:before="60"/>
            </w:pPr>
            <w:r w:rsidRPr="00345AA8">
              <w:t>Passage in Document</w:t>
            </w:r>
          </w:p>
        </w:tc>
        <w:tc>
          <w:tcPr>
            <w:tcW w:w="3561" w:type="pct"/>
          </w:tcPr>
          <w:p w:rsidR="00D03D5F" w:rsidRPr="00345AA8" w:rsidRDefault="00FC23BD" w:rsidP="00D03D5F">
            <w:pPr>
              <w:spacing w:before="60"/>
            </w:pPr>
            <w:r w:rsidRPr="00345AA8">
              <w:t>Page 2 and 3</w:t>
            </w:r>
          </w:p>
          <w:p w:rsidR="00D33926" w:rsidRPr="00345AA8" w:rsidRDefault="00D33926" w:rsidP="00D03D5F">
            <w:pPr>
              <w:spacing w:before="60"/>
            </w:pPr>
            <w:r w:rsidRPr="00345AA8">
              <w:t>Item 1.3 Server for Service Integration Adapter</w:t>
            </w:r>
          </w:p>
        </w:tc>
      </w:tr>
      <w:tr w:rsidR="00D03D5F" w:rsidRPr="00345AA8" w:rsidTr="00D03D5F">
        <w:trPr>
          <w:jc w:val="center"/>
        </w:trPr>
        <w:tc>
          <w:tcPr>
            <w:tcW w:w="1439" w:type="pct"/>
            <w:shd w:val="clear" w:color="auto" w:fill="E0E0E0"/>
          </w:tcPr>
          <w:p w:rsidR="00D03D5F" w:rsidRPr="00345AA8" w:rsidRDefault="00D03D5F" w:rsidP="00D03D5F">
            <w:pPr>
              <w:spacing w:before="60"/>
            </w:pPr>
            <w:r w:rsidRPr="00345AA8">
              <w:t>Tenderer’s Question</w:t>
            </w:r>
          </w:p>
        </w:tc>
        <w:tc>
          <w:tcPr>
            <w:tcW w:w="3561" w:type="pct"/>
          </w:tcPr>
          <w:p w:rsidR="00D03D5F" w:rsidRPr="00345AA8" w:rsidRDefault="003B43C2" w:rsidP="00FC23BD">
            <w:pPr>
              <w:widowControl w:val="0"/>
              <w:autoSpaceDE w:val="0"/>
              <w:autoSpaceDN w:val="0"/>
              <w:adjustRightInd w:val="0"/>
              <w:spacing w:after="0"/>
            </w:pPr>
            <w:r w:rsidRPr="00345AA8">
              <w:t xml:space="preserve">1. </w:t>
            </w:r>
            <w:r w:rsidR="007C7A94" w:rsidRPr="00345AA8">
              <w:t>Can you revise Figure no. 1 and Figure no. 2 on page 2 and page 3 of “Technical Specifications +</w:t>
            </w:r>
            <w:r w:rsidR="00FC23BD" w:rsidRPr="00345AA8">
              <w:t xml:space="preserve"> </w:t>
            </w:r>
            <w:r w:rsidR="007C7A94" w:rsidRPr="00345AA8">
              <w:t xml:space="preserve">Technical Offer” to show the </w:t>
            </w:r>
            <w:proofErr w:type="spellStart"/>
            <w:r w:rsidR="007C7A94" w:rsidRPr="00345AA8">
              <w:t>hookup</w:t>
            </w:r>
            <w:proofErr w:type="spellEnd"/>
            <w:r w:rsidR="007C7A94" w:rsidRPr="00345AA8">
              <w:t xml:space="preserve"> of the “Server for Service Integration Adapter”?</w:t>
            </w:r>
          </w:p>
          <w:p w:rsidR="00DE2F81" w:rsidRPr="00345AA8" w:rsidRDefault="003B43C2" w:rsidP="00FC23BD">
            <w:pPr>
              <w:widowControl w:val="0"/>
              <w:autoSpaceDE w:val="0"/>
              <w:autoSpaceDN w:val="0"/>
              <w:adjustRightInd w:val="0"/>
              <w:spacing w:after="0"/>
              <w:rPr>
                <w:rFonts w:cs="Calibri"/>
                <w:lang w:val="en-US" w:eastAsia="en-GB"/>
              </w:rPr>
            </w:pPr>
            <w:r w:rsidRPr="00345AA8">
              <w:t xml:space="preserve">2. </w:t>
            </w:r>
            <w:r w:rsidR="00DE2F81" w:rsidRPr="00345AA8">
              <w:t>Page 9 of “Technical Specifications + Technical Offer” mentions a SAS controller to be attached to the “ Server for Service Integration Adapter” for a Backup Tape, is the Data Tape mentioned on page 10 of “Technical Specifications + Technical Offer” to be connected to this controller?</w:t>
            </w:r>
          </w:p>
        </w:tc>
      </w:tr>
      <w:tr w:rsidR="00D03D5F" w:rsidRPr="00345AA8" w:rsidTr="00D03D5F">
        <w:trPr>
          <w:jc w:val="center"/>
        </w:trPr>
        <w:tc>
          <w:tcPr>
            <w:tcW w:w="1439" w:type="pct"/>
            <w:shd w:val="clear" w:color="auto" w:fill="E0E0E0"/>
          </w:tcPr>
          <w:p w:rsidR="00D03D5F" w:rsidRPr="00345AA8" w:rsidRDefault="00D03D5F" w:rsidP="00D03D5F">
            <w:pPr>
              <w:spacing w:before="60"/>
            </w:pPr>
            <w:r w:rsidRPr="00345AA8">
              <w:t>Answer</w:t>
            </w:r>
          </w:p>
        </w:tc>
        <w:tc>
          <w:tcPr>
            <w:tcW w:w="3561" w:type="pct"/>
          </w:tcPr>
          <w:p w:rsidR="00D03D5F" w:rsidRPr="00345AA8" w:rsidRDefault="003B43C2" w:rsidP="00EF2C78">
            <w:pPr>
              <w:widowControl w:val="0"/>
              <w:autoSpaceDE w:val="0"/>
              <w:autoSpaceDN w:val="0"/>
              <w:adjustRightInd w:val="0"/>
              <w:spacing w:after="0"/>
            </w:pPr>
            <w:r w:rsidRPr="00345AA8">
              <w:t xml:space="preserve">1. </w:t>
            </w:r>
            <w:r w:rsidR="00FC23BD" w:rsidRPr="00345AA8">
              <w:t>Server</w:t>
            </w:r>
            <w:r w:rsidR="009153D2" w:rsidRPr="00345AA8">
              <w:t>s</w:t>
            </w:r>
            <w:r w:rsidR="00FC23BD" w:rsidRPr="00345AA8">
              <w:t xml:space="preserve"> fo</w:t>
            </w:r>
            <w:r w:rsidR="009153D2" w:rsidRPr="00345AA8">
              <w:t>r service integration adapter are</w:t>
            </w:r>
            <w:r w:rsidR="00FC23BD" w:rsidRPr="00345AA8">
              <w:t xml:space="preserve"> envisioned to be placed within the member states </w:t>
            </w:r>
            <w:r w:rsidR="00EF2C78" w:rsidRPr="00345AA8">
              <w:t xml:space="preserve">procurement notification </w:t>
            </w:r>
            <w:r w:rsidR="001A3C58" w:rsidRPr="00345AA8">
              <w:t>systems (</w:t>
            </w:r>
            <w:r w:rsidR="00FC23BD" w:rsidRPr="00345AA8">
              <w:t>only for Barbados, Jamaica, Trinidad and Tobago</w:t>
            </w:r>
            <w:r w:rsidR="00EF2C78" w:rsidRPr="00345AA8">
              <w:t>). Service Integration Adapters (connectors) should provide reliable communication between the member states public procurement notification systems and the CPPNB.</w:t>
            </w:r>
          </w:p>
          <w:p w:rsidR="003B43C2" w:rsidRPr="00345AA8" w:rsidRDefault="003B43C2" w:rsidP="00053536">
            <w:pPr>
              <w:widowControl w:val="0"/>
              <w:autoSpaceDE w:val="0"/>
              <w:autoSpaceDN w:val="0"/>
              <w:adjustRightInd w:val="0"/>
              <w:spacing w:after="0"/>
            </w:pPr>
            <w:r w:rsidRPr="00345AA8">
              <w:t>2. No. Please see the Corrigendum No. 1 to the Tender Dossier</w:t>
            </w:r>
            <w:r w:rsidR="00053536" w:rsidRPr="00345AA8">
              <w:t>.</w:t>
            </w:r>
          </w:p>
        </w:tc>
      </w:tr>
    </w:tbl>
    <w:p w:rsidR="00D03D5F" w:rsidRPr="00345AA8" w:rsidRDefault="00D03D5F" w:rsidP="00D03D5F">
      <w:pPr>
        <w:pStyle w:val="Clarification"/>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D03D5F" w:rsidRPr="00345AA8" w:rsidTr="00D03D5F">
        <w:trPr>
          <w:jc w:val="center"/>
        </w:trPr>
        <w:tc>
          <w:tcPr>
            <w:tcW w:w="1439" w:type="pct"/>
            <w:shd w:val="clear" w:color="auto" w:fill="E0E0E0"/>
          </w:tcPr>
          <w:p w:rsidR="00D03D5F" w:rsidRPr="00345AA8" w:rsidRDefault="00D03D5F" w:rsidP="00D03D5F">
            <w:pPr>
              <w:spacing w:before="60"/>
            </w:pPr>
            <w:r w:rsidRPr="00345AA8">
              <w:t>Document/Section/Page Reference</w:t>
            </w:r>
          </w:p>
        </w:tc>
        <w:tc>
          <w:tcPr>
            <w:tcW w:w="3561" w:type="pct"/>
          </w:tcPr>
          <w:p w:rsidR="00D03D5F" w:rsidRPr="00345AA8" w:rsidRDefault="00D03D5F" w:rsidP="00D03D5F">
            <w:pPr>
              <w:spacing w:before="60"/>
            </w:pPr>
            <w:r w:rsidRPr="00345AA8">
              <w:t xml:space="preserve">Annex II and III- Technical Specifications CPPNB - Final (2) </w:t>
            </w:r>
            <w:proofErr w:type="spellStart"/>
            <w:r w:rsidRPr="00345AA8">
              <w:t>cj</w:t>
            </w:r>
            <w:proofErr w:type="spellEnd"/>
          </w:p>
        </w:tc>
      </w:tr>
      <w:tr w:rsidR="00D03D5F" w:rsidRPr="00345AA8" w:rsidTr="00D03D5F">
        <w:trPr>
          <w:jc w:val="center"/>
        </w:trPr>
        <w:tc>
          <w:tcPr>
            <w:tcW w:w="1439" w:type="pct"/>
            <w:shd w:val="clear" w:color="auto" w:fill="E0E0E0"/>
          </w:tcPr>
          <w:p w:rsidR="00D03D5F" w:rsidRPr="00345AA8" w:rsidRDefault="00D03D5F" w:rsidP="00D03D5F">
            <w:pPr>
              <w:spacing w:before="60"/>
            </w:pPr>
            <w:r w:rsidRPr="00345AA8">
              <w:t>Topic in Document</w:t>
            </w:r>
          </w:p>
        </w:tc>
        <w:tc>
          <w:tcPr>
            <w:tcW w:w="3561" w:type="pct"/>
          </w:tcPr>
          <w:p w:rsidR="00D03D5F" w:rsidRPr="00345AA8" w:rsidRDefault="00F372DF" w:rsidP="00F372DF">
            <w:pPr>
              <w:spacing w:before="60"/>
              <w:rPr>
                <w:b/>
                <w:bCs/>
              </w:rPr>
            </w:pPr>
            <w:r w:rsidRPr="00345AA8">
              <w:t>Data t</w:t>
            </w:r>
            <w:r w:rsidR="00D33926" w:rsidRPr="00345AA8">
              <w:t>ape</w:t>
            </w:r>
            <w:r w:rsidRPr="00345AA8">
              <w:t xml:space="preserve"> connection</w:t>
            </w:r>
            <w:r w:rsidRPr="00345AA8">
              <w:rPr>
                <w:b/>
                <w:bCs/>
              </w:rPr>
              <w:t xml:space="preserve"> </w:t>
            </w:r>
          </w:p>
        </w:tc>
      </w:tr>
      <w:tr w:rsidR="00D03D5F" w:rsidRPr="00345AA8" w:rsidTr="00D03D5F">
        <w:trPr>
          <w:trHeight w:val="251"/>
          <w:jc w:val="center"/>
        </w:trPr>
        <w:tc>
          <w:tcPr>
            <w:tcW w:w="1439" w:type="pct"/>
            <w:shd w:val="clear" w:color="auto" w:fill="E0E0E0"/>
          </w:tcPr>
          <w:p w:rsidR="00D03D5F" w:rsidRPr="00345AA8" w:rsidRDefault="00D03D5F" w:rsidP="00D03D5F">
            <w:pPr>
              <w:spacing w:before="60"/>
            </w:pPr>
            <w:r w:rsidRPr="00345AA8">
              <w:t>Passage in Document</w:t>
            </w:r>
          </w:p>
        </w:tc>
        <w:tc>
          <w:tcPr>
            <w:tcW w:w="3561" w:type="pct"/>
          </w:tcPr>
          <w:p w:rsidR="00F372DF" w:rsidRPr="00345AA8" w:rsidRDefault="00F372DF" w:rsidP="00D03D5F">
            <w:pPr>
              <w:spacing w:before="60"/>
            </w:pPr>
            <w:r w:rsidRPr="00345AA8">
              <w:t xml:space="preserve">Page 2 </w:t>
            </w:r>
          </w:p>
          <w:p w:rsidR="00D03D5F" w:rsidRPr="00345AA8" w:rsidRDefault="00F372DF" w:rsidP="00F372DF">
            <w:pPr>
              <w:spacing w:before="60"/>
            </w:pPr>
            <w:r w:rsidRPr="00345AA8">
              <w:t>Item 1.1 Server for virtualization</w:t>
            </w:r>
          </w:p>
        </w:tc>
      </w:tr>
      <w:tr w:rsidR="00D03D5F" w:rsidRPr="00345AA8" w:rsidTr="00D03D5F">
        <w:trPr>
          <w:jc w:val="center"/>
        </w:trPr>
        <w:tc>
          <w:tcPr>
            <w:tcW w:w="1439" w:type="pct"/>
            <w:shd w:val="clear" w:color="auto" w:fill="E0E0E0"/>
          </w:tcPr>
          <w:p w:rsidR="00D03D5F" w:rsidRPr="00345AA8" w:rsidRDefault="00D03D5F" w:rsidP="00D03D5F">
            <w:pPr>
              <w:spacing w:before="60"/>
            </w:pPr>
            <w:r w:rsidRPr="00345AA8">
              <w:t>Tenderer’s Question</w:t>
            </w:r>
          </w:p>
        </w:tc>
        <w:tc>
          <w:tcPr>
            <w:tcW w:w="3561" w:type="pct"/>
          </w:tcPr>
          <w:p w:rsidR="00D03D5F" w:rsidRPr="00345AA8" w:rsidRDefault="00D33926" w:rsidP="00D33926">
            <w:pPr>
              <w:widowControl w:val="0"/>
              <w:autoSpaceDE w:val="0"/>
              <w:autoSpaceDN w:val="0"/>
              <w:adjustRightInd w:val="0"/>
              <w:spacing w:after="0"/>
            </w:pPr>
            <w:r w:rsidRPr="00345AA8">
              <w:t>Figure no. 1 on page 2 of “Technical Specifications + Technical Offer” shows a tape drive connected to a ‘Host Server for Virtualization”. The specifications of the “Server for virtualization”</w:t>
            </w:r>
            <w:r w:rsidR="00F372DF" w:rsidRPr="00345AA8">
              <w:t xml:space="preserve"> </w:t>
            </w:r>
            <w:r w:rsidRPr="00345AA8">
              <w:t>given on page 6 of “Technical Specifications + Technical Offer” does not show the controller for</w:t>
            </w:r>
            <w:r w:rsidR="00F372DF" w:rsidRPr="00345AA8">
              <w:t xml:space="preserve"> </w:t>
            </w:r>
            <w:r w:rsidRPr="00345AA8">
              <w:t>the tape drive, can you confirm where the tape drive is to be connected?</w:t>
            </w:r>
          </w:p>
        </w:tc>
      </w:tr>
      <w:tr w:rsidR="00D03D5F" w:rsidRPr="00345AA8" w:rsidTr="00D03D5F">
        <w:trPr>
          <w:jc w:val="center"/>
        </w:trPr>
        <w:tc>
          <w:tcPr>
            <w:tcW w:w="1439" w:type="pct"/>
            <w:shd w:val="clear" w:color="auto" w:fill="E0E0E0"/>
          </w:tcPr>
          <w:p w:rsidR="00D03D5F" w:rsidRPr="00345AA8" w:rsidRDefault="00D03D5F" w:rsidP="00D03D5F">
            <w:pPr>
              <w:spacing w:before="60"/>
            </w:pPr>
            <w:r w:rsidRPr="00345AA8">
              <w:t>Answer</w:t>
            </w:r>
          </w:p>
        </w:tc>
        <w:tc>
          <w:tcPr>
            <w:tcW w:w="3561" w:type="pct"/>
          </w:tcPr>
          <w:p w:rsidR="00D03D5F" w:rsidRPr="00345AA8" w:rsidRDefault="00F372DF" w:rsidP="00F372DF">
            <w:pPr>
              <w:spacing w:before="60"/>
            </w:pPr>
            <w:r w:rsidRPr="00345AA8">
              <w:t>Please see the Corrigendum No. 1 to the Tender Dossier.</w:t>
            </w:r>
          </w:p>
        </w:tc>
      </w:tr>
    </w:tbl>
    <w:p w:rsidR="006E4EA7" w:rsidRPr="00345AA8" w:rsidRDefault="006E4EA7" w:rsidP="006E4EA7">
      <w:pPr>
        <w:pStyle w:val="Clarification"/>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6E4EA7" w:rsidRPr="00345AA8" w:rsidTr="006E4EA7">
        <w:trPr>
          <w:jc w:val="center"/>
        </w:trPr>
        <w:tc>
          <w:tcPr>
            <w:tcW w:w="1439" w:type="pct"/>
            <w:shd w:val="clear" w:color="auto" w:fill="E0E0E0"/>
          </w:tcPr>
          <w:p w:rsidR="006E4EA7" w:rsidRPr="00345AA8" w:rsidRDefault="006E4EA7" w:rsidP="006E4EA7">
            <w:pPr>
              <w:spacing w:before="60"/>
            </w:pPr>
            <w:r w:rsidRPr="00345AA8">
              <w:t>Document/Section/Page Reference</w:t>
            </w:r>
          </w:p>
        </w:tc>
        <w:tc>
          <w:tcPr>
            <w:tcW w:w="3561" w:type="pct"/>
          </w:tcPr>
          <w:p w:rsidR="006E4EA7" w:rsidRPr="00345AA8" w:rsidRDefault="006E4EA7" w:rsidP="006E4EA7">
            <w:pPr>
              <w:spacing w:before="60"/>
            </w:pPr>
            <w:r w:rsidRPr="00345AA8">
              <w:t xml:space="preserve">Annex II and III- Technical Specifications CPPNB - Final (2) </w:t>
            </w:r>
            <w:proofErr w:type="spellStart"/>
            <w:r w:rsidRPr="00345AA8">
              <w:t>cj</w:t>
            </w:r>
            <w:proofErr w:type="spellEnd"/>
          </w:p>
        </w:tc>
      </w:tr>
      <w:tr w:rsidR="006E4EA7" w:rsidRPr="00345AA8" w:rsidTr="006E4EA7">
        <w:trPr>
          <w:jc w:val="center"/>
        </w:trPr>
        <w:tc>
          <w:tcPr>
            <w:tcW w:w="1439" w:type="pct"/>
            <w:shd w:val="clear" w:color="auto" w:fill="E0E0E0"/>
          </w:tcPr>
          <w:p w:rsidR="006E4EA7" w:rsidRPr="00345AA8" w:rsidRDefault="006E4EA7" w:rsidP="006E4EA7">
            <w:pPr>
              <w:spacing w:before="60"/>
            </w:pPr>
            <w:r w:rsidRPr="00345AA8">
              <w:t>Topic in Document</w:t>
            </w:r>
          </w:p>
        </w:tc>
        <w:tc>
          <w:tcPr>
            <w:tcW w:w="3561" w:type="pct"/>
          </w:tcPr>
          <w:p w:rsidR="006E4EA7" w:rsidRPr="00345AA8" w:rsidRDefault="00A35E66" w:rsidP="00A35E66">
            <w:pPr>
              <w:spacing w:before="60"/>
            </w:pPr>
            <w:r w:rsidRPr="00345AA8">
              <w:t>Active Directory Domain</w:t>
            </w:r>
          </w:p>
        </w:tc>
      </w:tr>
      <w:tr w:rsidR="006E4EA7" w:rsidRPr="00345AA8" w:rsidTr="006E4EA7">
        <w:trPr>
          <w:trHeight w:val="251"/>
          <w:jc w:val="center"/>
        </w:trPr>
        <w:tc>
          <w:tcPr>
            <w:tcW w:w="1439" w:type="pct"/>
            <w:shd w:val="clear" w:color="auto" w:fill="E0E0E0"/>
          </w:tcPr>
          <w:p w:rsidR="006E4EA7" w:rsidRPr="00345AA8" w:rsidRDefault="006E4EA7" w:rsidP="006E4EA7">
            <w:pPr>
              <w:spacing w:before="60"/>
            </w:pPr>
            <w:r w:rsidRPr="00345AA8">
              <w:t>Passage in Document</w:t>
            </w:r>
          </w:p>
        </w:tc>
        <w:tc>
          <w:tcPr>
            <w:tcW w:w="3561" w:type="pct"/>
          </w:tcPr>
          <w:p w:rsidR="006E4EA7" w:rsidRPr="00345AA8" w:rsidRDefault="00A35E66" w:rsidP="006E4EA7">
            <w:pPr>
              <w:spacing w:before="60"/>
            </w:pPr>
            <w:r w:rsidRPr="00345AA8">
              <w:t>Page</w:t>
            </w:r>
            <w:r w:rsidR="001A3C58" w:rsidRPr="00345AA8">
              <w:t>s</w:t>
            </w:r>
            <w:r w:rsidRPr="00345AA8">
              <w:t xml:space="preserve"> 2 and 3</w:t>
            </w:r>
          </w:p>
        </w:tc>
      </w:tr>
      <w:tr w:rsidR="006E4EA7" w:rsidRPr="00345AA8" w:rsidTr="006E4EA7">
        <w:trPr>
          <w:jc w:val="center"/>
        </w:trPr>
        <w:tc>
          <w:tcPr>
            <w:tcW w:w="1439" w:type="pct"/>
            <w:shd w:val="clear" w:color="auto" w:fill="E0E0E0"/>
          </w:tcPr>
          <w:p w:rsidR="006E4EA7" w:rsidRPr="00345AA8" w:rsidRDefault="006E4EA7" w:rsidP="006E4EA7">
            <w:pPr>
              <w:spacing w:before="60"/>
            </w:pPr>
            <w:r w:rsidRPr="00345AA8">
              <w:t>Tenderer’s Question</w:t>
            </w:r>
          </w:p>
        </w:tc>
        <w:tc>
          <w:tcPr>
            <w:tcW w:w="3561" w:type="pct"/>
          </w:tcPr>
          <w:p w:rsidR="006E4EA7" w:rsidRPr="00345AA8" w:rsidRDefault="00D34FD8" w:rsidP="00A35E66">
            <w:pPr>
              <w:widowControl w:val="0"/>
              <w:autoSpaceDE w:val="0"/>
              <w:autoSpaceDN w:val="0"/>
              <w:adjustRightInd w:val="0"/>
              <w:spacing w:after="0"/>
              <w:jc w:val="left"/>
            </w:pPr>
            <w:r w:rsidRPr="00345AA8">
              <w:t xml:space="preserve">1. </w:t>
            </w:r>
            <w:r w:rsidR="00A35E66" w:rsidRPr="00345AA8">
              <w:t>Would the computers in the Primary site and the Disaster Recovery site be joining an existing Active Directory Domain?</w:t>
            </w:r>
          </w:p>
          <w:p w:rsidR="0071498C" w:rsidRPr="00345AA8" w:rsidRDefault="00D34FD8" w:rsidP="0071498C">
            <w:pPr>
              <w:widowControl w:val="0"/>
              <w:autoSpaceDE w:val="0"/>
              <w:autoSpaceDN w:val="0"/>
              <w:adjustRightInd w:val="0"/>
              <w:spacing w:after="0"/>
              <w:jc w:val="left"/>
              <w:rPr>
                <w:rFonts w:cs="Calibri"/>
                <w:lang w:val="en-US" w:eastAsia="en-GB"/>
              </w:rPr>
            </w:pPr>
            <w:r w:rsidRPr="00345AA8">
              <w:t xml:space="preserve">2. </w:t>
            </w:r>
            <w:r w:rsidR="0071498C" w:rsidRPr="00345AA8">
              <w:t>Would CARICOM Secretariat be providing the Domain Controller/Active Directory to be used with the CPPNB system?</w:t>
            </w:r>
          </w:p>
        </w:tc>
      </w:tr>
      <w:tr w:rsidR="006E4EA7" w:rsidRPr="00345AA8" w:rsidTr="006E4EA7">
        <w:trPr>
          <w:jc w:val="center"/>
        </w:trPr>
        <w:tc>
          <w:tcPr>
            <w:tcW w:w="1439" w:type="pct"/>
            <w:shd w:val="clear" w:color="auto" w:fill="E0E0E0"/>
          </w:tcPr>
          <w:p w:rsidR="006E4EA7" w:rsidRPr="00345AA8" w:rsidRDefault="006E4EA7" w:rsidP="006E4EA7">
            <w:pPr>
              <w:spacing w:before="60"/>
            </w:pPr>
            <w:r w:rsidRPr="00345AA8">
              <w:t>Answer</w:t>
            </w:r>
          </w:p>
        </w:tc>
        <w:tc>
          <w:tcPr>
            <w:tcW w:w="3561" w:type="pct"/>
          </w:tcPr>
          <w:p w:rsidR="006E4EA7" w:rsidRPr="00345AA8" w:rsidRDefault="00D34FD8" w:rsidP="00A35E66">
            <w:pPr>
              <w:spacing w:before="60"/>
            </w:pPr>
            <w:r w:rsidRPr="00345AA8">
              <w:t xml:space="preserve">1. </w:t>
            </w:r>
            <w:r w:rsidR="00622D6E" w:rsidRPr="00345AA8">
              <w:t>No</w:t>
            </w:r>
          </w:p>
          <w:p w:rsidR="00D34FD8" w:rsidRPr="00345AA8" w:rsidRDefault="00622D6E" w:rsidP="00A35E66">
            <w:pPr>
              <w:spacing w:before="60"/>
            </w:pPr>
            <w:r w:rsidRPr="00345AA8">
              <w:t>2. No</w:t>
            </w:r>
          </w:p>
        </w:tc>
      </w:tr>
    </w:tbl>
    <w:p w:rsidR="006E4EA7" w:rsidRPr="00345AA8" w:rsidRDefault="006E4EA7" w:rsidP="006E4EA7">
      <w:pPr>
        <w:pStyle w:val="Clarification"/>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6E4EA7" w:rsidRPr="00345AA8" w:rsidTr="006E4EA7">
        <w:trPr>
          <w:jc w:val="center"/>
        </w:trPr>
        <w:tc>
          <w:tcPr>
            <w:tcW w:w="1439" w:type="pct"/>
            <w:shd w:val="clear" w:color="auto" w:fill="E0E0E0"/>
          </w:tcPr>
          <w:p w:rsidR="006E4EA7" w:rsidRPr="00345AA8" w:rsidRDefault="006E4EA7" w:rsidP="006E4EA7">
            <w:pPr>
              <w:spacing w:before="60"/>
            </w:pPr>
            <w:r w:rsidRPr="00345AA8">
              <w:t>Document/Section/Page Reference</w:t>
            </w:r>
          </w:p>
        </w:tc>
        <w:tc>
          <w:tcPr>
            <w:tcW w:w="3561" w:type="pct"/>
          </w:tcPr>
          <w:p w:rsidR="006E4EA7" w:rsidRPr="00345AA8" w:rsidRDefault="006E4EA7" w:rsidP="006E4EA7">
            <w:pPr>
              <w:spacing w:before="60"/>
            </w:pPr>
            <w:r w:rsidRPr="00345AA8">
              <w:t xml:space="preserve">Annex II and III- Technical Specifications CPPNB - Final (2) </w:t>
            </w:r>
            <w:proofErr w:type="spellStart"/>
            <w:r w:rsidRPr="00345AA8">
              <w:t>cj</w:t>
            </w:r>
            <w:proofErr w:type="spellEnd"/>
          </w:p>
        </w:tc>
      </w:tr>
      <w:tr w:rsidR="006E4EA7" w:rsidRPr="00345AA8" w:rsidTr="006E4EA7">
        <w:trPr>
          <w:jc w:val="center"/>
        </w:trPr>
        <w:tc>
          <w:tcPr>
            <w:tcW w:w="1439" w:type="pct"/>
            <w:shd w:val="clear" w:color="auto" w:fill="E0E0E0"/>
          </w:tcPr>
          <w:p w:rsidR="006E4EA7" w:rsidRPr="00345AA8" w:rsidRDefault="006E4EA7" w:rsidP="006E4EA7">
            <w:pPr>
              <w:spacing w:before="60"/>
            </w:pPr>
            <w:r w:rsidRPr="00345AA8">
              <w:t>Topic in Document</w:t>
            </w:r>
          </w:p>
        </w:tc>
        <w:tc>
          <w:tcPr>
            <w:tcW w:w="3561" w:type="pct"/>
          </w:tcPr>
          <w:p w:rsidR="006E4EA7" w:rsidRPr="00345AA8" w:rsidRDefault="00D34FD8" w:rsidP="00D34FD8">
            <w:pPr>
              <w:spacing w:before="60"/>
            </w:pPr>
            <w:r w:rsidRPr="00345AA8">
              <w:t>Off-site work</w:t>
            </w:r>
          </w:p>
        </w:tc>
      </w:tr>
      <w:tr w:rsidR="006E4EA7" w:rsidRPr="00345AA8" w:rsidTr="006E4EA7">
        <w:trPr>
          <w:trHeight w:val="251"/>
          <w:jc w:val="center"/>
        </w:trPr>
        <w:tc>
          <w:tcPr>
            <w:tcW w:w="1439" w:type="pct"/>
            <w:shd w:val="clear" w:color="auto" w:fill="E0E0E0"/>
          </w:tcPr>
          <w:p w:rsidR="006E4EA7" w:rsidRPr="00345AA8" w:rsidRDefault="006E4EA7" w:rsidP="006E4EA7">
            <w:pPr>
              <w:spacing w:before="60"/>
            </w:pPr>
            <w:r w:rsidRPr="00345AA8">
              <w:t>Passage in Document</w:t>
            </w:r>
          </w:p>
        </w:tc>
        <w:tc>
          <w:tcPr>
            <w:tcW w:w="3561" w:type="pct"/>
          </w:tcPr>
          <w:p w:rsidR="006E4EA7" w:rsidRPr="00345AA8" w:rsidRDefault="00165199" w:rsidP="006E4EA7">
            <w:pPr>
              <w:spacing w:before="60"/>
            </w:pPr>
            <w:r w:rsidRPr="00345AA8">
              <w:t>Item 1.20 Implementation</w:t>
            </w:r>
          </w:p>
        </w:tc>
      </w:tr>
      <w:tr w:rsidR="006E4EA7" w:rsidRPr="00345AA8" w:rsidTr="006E4EA7">
        <w:trPr>
          <w:jc w:val="center"/>
        </w:trPr>
        <w:tc>
          <w:tcPr>
            <w:tcW w:w="1439" w:type="pct"/>
            <w:shd w:val="clear" w:color="auto" w:fill="E0E0E0"/>
          </w:tcPr>
          <w:p w:rsidR="006E4EA7" w:rsidRPr="00345AA8" w:rsidRDefault="006E4EA7" w:rsidP="006E4EA7">
            <w:pPr>
              <w:spacing w:before="60"/>
            </w:pPr>
            <w:r w:rsidRPr="00345AA8">
              <w:t>Tenderer’s Question</w:t>
            </w:r>
          </w:p>
        </w:tc>
        <w:tc>
          <w:tcPr>
            <w:tcW w:w="3561" w:type="pct"/>
          </w:tcPr>
          <w:p w:rsidR="00C01D3C" w:rsidRPr="00345AA8" w:rsidRDefault="00C01D3C" w:rsidP="00D34FD8">
            <w:pPr>
              <w:widowControl w:val="0"/>
              <w:autoSpaceDE w:val="0"/>
              <w:autoSpaceDN w:val="0"/>
              <w:adjustRightInd w:val="0"/>
              <w:spacing w:after="0"/>
            </w:pPr>
            <w:r w:rsidRPr="00345AA8">
              <w:t xml:space="preserve">1. </w:t>
            </w:r>
            <w:r w:rsidR="00D34FD8" w:rsidRPr="00345AA8">
              <w:t xml:space="preserve">If successful would the chosen vendor be allowed to perform work related to this proposal remotely (off-site)? </w:t>
            </w:r>
          </w:p>
          <w:p w:rsidR="006E4EA7" w:rsidRPr="00345AA8" w:rsidRDefault="00C01D3C" w:rsidP="00D34FD8">
            <w:pPr>
              <w:widowControl w:val="0"/>
              <w:autoSpaceDE w:val="0"/>
              <w:autoSpaceDN w:val="0"/>
              <w:adjustRightInd w:val="0"/>
              <w:spacing w:after="0"/>
              <w:rPr>
                <w:rFonts w:cs="Calibri"/>
                <w:lang w:val="en-US" w:eastAsia="en-GB"/>
              </w:rPr>
            </w:pPr>
            <w:r w:rsidRPr="00345AA8">
              <w:t xml:space="preserve">2. </w:t>
            </w:r>
            <w:r w:rsidR="00D34FD8" w:rsidRPr="00345AA8">
              <w:t>If so, would CARICOM Secretariat provide the necessary remote access tools to facilitate vendor working remotely?</w:t>
            </w:r>
          </w:p>
        </w:tc>
      </w:tr>
      <w:tr w:rsidR="006E4EA7" w:rsidRPr="00345AA8" w:rsidTr="006E4EA7">
        <w:trPr>
          <w:jc w:val="center"/>
        </w:trPr>
        <w:tc>
          <w:tcPr>
            <w:tcW w:w="1439" w:type="pct"/>
            <w:shd w:val="clear" w:color="auto" w:fill="E0E0E0"/>
          </w:tcPr>
          <w:p w:rsidR="006E4EA7" w:rsidRPr="00345AA8" w:rsidRDefault="006E4EA7" w:rsidP="006E4EA7">
            <w:pPr>
              <w:spacing w:before="60"/>
            </w:pPr>
            <w:r w:rsidRPr="00345AA8">
              <w:t>Answer</w:t>
            </w:r>
          </w:p>
        </w:tc>
        <w:tc>
          <w:tcPr>
            <w:tcW w:w="3561" w:type="pct"/>
          </w:tcPr>
          <w:p w:rsidR="00C01D3C" w:rsidRPr="005527B2" w:rsidRDefault="00165199" w:rsidP="00D34FD8">
            <w:pPr>
              <w:spacing w:before="60"/>
            </w:pPr>
            <w:r w:rsidRPr="00345AA8">
              <w:t>1</w:t>
            </w:r>
            <w:r w:rsidRPr="005527B2">
              <w:t>. Customization and development work could</w:t>
            </w:r>
            <w:r w:rsidR="00C01D3C" w:rsidRPr="005527B2">
              <w:t xml:space="preserve"> be done remotely.</w:t>
            </w:r>
          </w:p>
          <w:p w:rsidR="006E4EA7" w:rsidRPr="00345AA8" w:rsidRDefault="00C01D3C" w:rsidP="00890E50">
            <w:pPr>
              <w:spacing w:before="60"/>
            </w:pPr>
            <w:r w:rsidRPr="005527B2">
              <w:t xml:space="preserve">2. </w:t>
            </w:r>
            <w:r w:rsidR="00890E50" w:rsidRPr="005527B2">
              <w:t>The CARICOM Secretariat will ensure that the necessary access to facilitate remote work is made available.</w:t>
            </w:r>
            <w:bookmarkStart w:id="0" w:name="_GoBack"/>
            <w:bookmarkEnd w:id="0"/>
            <w:r w:rsidR="005527B2">
              <w:t xml:space="preserve"> </w:t>
            </w:r>
          </w:p>
        </w:tc>
      </w:tr>
    </w:tbl>
    <w:p w:rsidR="006E4EA7" w:rsidRPr="00345AA8" w:rsidRDefault="006E4EA7" w:rsidP="006E4EA7">
      <w:pPr>
        <w:pStyle w:val="Clarification"/>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6E4EA7" w:rsidRPr="00345AA8" w:rsidTr="006E4EA7">
        <w:trPr>
          <w:jc w:val="center"/>
        </w:trPr>
        <w:tc>
          <w:tcPr>
            <w:tcW w:w="1439" w:type="pct"/>
            <w:shd w:val="clear" w:color="auto" w:fill="E0E0E0"/>
          </w:tcPr>
          <w:p w:rsidR="006E4EA7" w:rsidRPr="00345AA8" w:rsidRDefault="006E4EA7" w:rsidP="006E4EA7">
            <w:pPr>
              <w:spacing w:before="60"/>
            </w:pPr>
            <w:r w:rsidRPr="00345AA8">
              <w:t>Document/Section/Page Reference</w:t>
            </w:r>
          </w:p>
        </w:tc>
        <w:tc>
          <w:tcPr>
            <w:tcW w:w="3561" w:type="pct"/>
          </w:tcPr>
          <w:p w:rsidR="006E4EA7" w:rsidRPr="00345AA8" w:rsidRDefault="006E4EA7" w:rsidP="006E4EA7">
            <w:pPr>
              <w:spacing w:before="60"/>
            </w:pPr>
            <w:r w:rsidRPr="00345AA8">
              <w:t xml:space="preserve">Annex II and III- Technical Specifications CPPNB - Final (2) </w:t>
            </w:r>
            <w:proofErr w:type="spellStart"/>
            <w:r w:rsidRPr="00345AA8">
              <w:t>cj</w:t>
            </w:r>
            <w:proofErr w:type="spellEnd"/>
          </w:p>
        </w:tc>
      </w:tr>
      <w:tr w:rsidR="006E4EA7" w:rsidRPr="00345AA8" w:rsidTr="006E4EA7">
        <w:trPr>
          <w:jc w:val="center"/>
        </w:trPr>
        <w:tc>
          <w:tcPr>
            <w:tcW w:w="1439" w:type="pct"/>
            <w:shd w:val="clear" w:color="auto" w:fill="E0E0E0"/>
          </w:tcPr>
          <w:p w:rsidR="006E4EA7" w:rsidRPr="00345AA8" w:rsidRDefault="006E4EA7" w:rsidP="006E4EA7">
            <w:pPr>
              <w:spacing w:before="60"/>
            </w:pPr>
            <w:r w:rsidRPr="00345AA8">
              <w:t>Topic in Document</w:t>
            </w:r>
          </w:p>
        </w:tc>
        <w:tc>
          <w:tcPr>
            <w:tcW w:w="3561" w:type="pct"/>
          </w:tcPr>
          <w:p w:rsidR="006E4EA7" w:rsidRPr="00345AA8" w:rsidRDefault="00165199" w:rsidP="00165199">
            <w:pPr>
              <w:spacing w:before="60"/>
            </w:pPr>
            <w:r w:rsidRPr="00345AA8">
              <w:t>Enterprise agreements</w:t>
            </w:r>
          </w:p>
        </w:tc>
      </w:tr>
      <w:tr w:rsidR="006E4EA7" w:rsidRPr="00345AA8" w:rsidTr="006E4EA7">
        <w:trPr>
          <w:trHeight w:val="251"/>
          <w:jc w:val="center"/>
        </w:trPr>
        <w:tc>
          <w:tcPr>
            <w:tcW w:w="1439" w:type="pct"/>
            <w:shd w:val="clear" w:color="auto" w:fill="E0E0E0"/>
          </w:tcPr>
          <w:p w:rsidR="006E4EA7" w:rsidRPr="00345AA8" w:rsidRDefault="006E4EA7" w:rsidP="006E4EA7">
            <w:pPr>
              <w:spacing w:before="60"/>
            </w:pPr>
            <w:r w:rsidRPr="00345AA8">
              <w:t>Passage in Document</w:t>
            </w:r>
          </w:p>
        </w:tc>
        <w:tc>
          <w:tcPr>
            <w:tcW w:w="3561" w:type="pct"/>
          </w:tcPr>
          <w:p w:rsidR="006E4EA7" w:rsidRPr="00345AA8" w:rsidRDefault="00165199" w:rsidP="006E4EA7">
            <w:pPr>
              <w:spacing w:before="60"/>
            </w:pPr>
            <w:r w:rsidRPr="00345AA8">
              <w:t>n/a</w:t>
            </w:r>
          </w:p>
        </w:tc>
      </w:tr>
      <w:tr w:rsidR="006E4EA7" w:rsidRPr="00345AA8" w:rsidTr="006E4EA7">
        <w:trPr>
          <w:jc w:val="center"/>
        </w:trPr>
        <w:tc>
          <w:tcPr>
            <w:tcW w:w="1439" w:type="pct"/>
            <w:shd w:val="clear" w:color="auto" w:fill="E0E0E0"/>
          </w:tcPr>
          <w:p w:rsidR="006E4EA7" w:rsidRPr="00345AA8" w:rsidRDefault="006E4EA7" w:rsidP="006E4EA7">
            <w:pPr>
              <w:spacing w:before="60"/>
            </w:pPr>
            <w:r w:rsidRPr="00345AA8">
              <w:t>Tenderer’s Question</w:t>
            </w:r>
          </w:p>
        </w:tc>
        <w:tc>
          <w:tcPr>
            <w:tcW w:w="3561" w:type="pct"/>
          </w:tcPr>
          <w:p w:rsidR="006E4EA7" w:rsidRPr="00345AA8" w:rsidRDefault="00165199" w:rsidP="00C82148">
            <w:pPr>
              <w:widowControl w:val="0"/>
              <w:autoSpaceDE w:val="0"/>
              <w:autoSpaceDN w:val="0"/>
              <w:adjustRightInd w:val="0"/>
              <w:spacing w:after="0"/>
            </w:pPr>
            <w:r w:rsidRPr="00345AA8">
              <w:t>Does Secretariat have any Enterprise agreements with software vendors such as Microsoft or IBM? If so, please specify which vendors have Enterprise Agreements with CARICOM?</w:t>
            </w:r>
          </w:p>
        </w:tc>
      </w:tr>
      <w:tr w:rsidR="006E4EA7" w:rsidRPr="00345AA8" w:rsidTr="006E4EA7">
        <w:trPr>
          <w:jc w:val="center"/>
        </w:trPr>
        <w:tc>
          <w:tcPr>
            <w:tcW w:w="1439" w:type="pct"/>
            <w:shd w:val="clear" w:color="auto" w:fill="E0E0E0"/>
          </w:tcPr>
          <w:p w:rsidR="006E4EA7" w:rsidRPr="00345AA8" w:rsidRDefault="006E4EA7" w:rsidP="006E4EA7">
            <w:pPr>
              <w:spacing w:before="60"/>
            </w:pPr>
            <w:r w:rsidRPr="00345AA8">
              <w:t>Answer</w:t>
            </w:r>
          </w:p>
        </w:tc>
        <w:tc>
          <w:tcPr>
            <w:tcW w:w="3561" w:type="pct"/>
          </w:tcPr>
          <w:p w:rsidR="006E4EA7" w:rsidRPr="00345AA8" w:rsidRDefault="00B34951" w:rsidP="00B34951">
            <w:pPr>
              <w:spacing w:before="60"/>
            </w:pPr>
            <w:r w:rsidRPr="00345AA8">
              <w:t xml:space="preserve">The Secretariat </w:t>
            </w:r>
            <w:r w:rsidR="0093050C" w:rsidRPr="00345AA8">
              <w:t>do</w:t>
            </w:r>
            <w:r w:rsidRPr="00345AA8">
              <w:t>es</w:t>
            </w:r>
            <w:r w:rsidR="0093050C" w:rsidRPr="00345AA8">
              <w:t xml:space="preserve"> not have an enterprise agreement, but </w:t>
            </w:r>
            <w:r w:rsidRPr="00345AA8">
              <w:t xml:space="preserve">has </w:t>
            </w:r>
            <w:r w:rsidR="0093050C" w:rsidRPr="00345AA8">
              <w:t xml:space="preserve">an open value agreement with Microsoft. </w:t>
            </w:r>
          </w:p>
        </w:tc>
      </w:tr>
    </w:tbl>
    <w:p w:rsidR="006E4EA7" w:rsidRPr="00345AA8" w:rsidRDefault="006E4EA7" w:rsidP="006E4EA7">
      <w:pPr>
        <w:pStyle w:val="Clarification"/>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6E4EA7" w:rsidRPr="00345AA8" w:rsidTr="006E4EA7">
        <w:trPr>
          <w:jc w:val="center"/>
        </w:trPr>
        <w:tc>
          <w:tcPr>
            <w:tcW w:w="1439" w:type="pct"/>
            <w:shd w:val="clear" w:color="auto" w:fill="E0E0E0"/>
          </w:tcPr>
          <w:p w:rsidR="006E4EA7" w:rsidRPr="00345AA8" w:rsidRDefault="006E4EA7" w:rsidP="006E4EA7">
            <w:pPr>
              <w:spacing w:before="60"/>
            </w:pPr>
            <w:r w:rsidRPr="00345AA8">
              <w:t>Document/Section/Page Reference</w:t>
            </w:r>
          </w:p>
        </w:tc>
        <w:tc>
          <w:tcPr>
            <w:tcW w:w="3561" w:type="pct"/>
          </w:tcPr>
          <w:p w:rsidR="006E4EA7" w:rsidRPr="00345AA8" w:rsidRDefault="006E4EA7" w:rsidP="006E4EA7">
            <w:pPr>
              <w:spacing w:before="60"/>
            </w:pPr>
            <w:r w:rsidRPr="00345AA8">
              <w:t xml:space="preserve">Annex II and III- Technical Specifications CPPNB - Final (2) </w:t>
            </w:r>
            <w:proofErr w:type="spellStart"/>
            <w:r w:rsidRPr="00345AA8">
              <w:t>cj</w:t>
            </w:r>
            <w:proofErr w:type="spellEnd"/>
          </w:p>
        </w:tc>
      </w:tr>
      <w:tr w:rsidR="006E4EA7" w:rsidRPr="00345AA8" w:rsidTr="006E4EA7">
        <w:trPr>
          <w:jc w:val="center"/>
        </w:trPr>
        <w:tc>
          <w:tcPr>
            <w:tcW w:w="1439" w:type="pct"/>
            <w:shd w:val="clear" w:color="auto" w:fill="E0E0E0"/>
          </w:tcPr>
          <w:p w:rsidR="006E4EA7" w:rsidRPr="00345AA8" w:rsidRDefault="006E4EA7" w:rsidP="006E4EA7">
            <w:pPr>
              <w:spacing w:before="60"/>
            </w:pPr>
            <w:r w:rsidRPr="00345AA8">
              <w:t>Topic in Document</w:t>
            </w:r>
          </w:p>
        </w:tc>
        <w:tc>
          <w:tcPr>
            <w:tcW w:w="3561" w:type="pct"/>
          </w:tcPr>
          <w:p w:rsidR="006E4EA7" w:rsidRPr="00345AA8" w:rsidRDefault="00BF761D" w:rsidP="00BF761D">
            <w:pPr>
              <w:spacing w:before="60"/>
            </w:pPr>
            <w:r w:rsidRPr="00345AA8">
              <w:t>Cloud-based solution</w:t>
            </w:r>
          </w:p>
        </w:tc>
      </w:tr>
      <w:tr w:rsidR="006E4EA7" w:rsidRPr="00345AA8" w:rsidTr="006E4EA7">
        <w:trPr>
          <w:trHeight w:val="251"/>
          <w:jc w:val="center"/>
        </w:trPr>
        <w:tc>
          <w:tcPr>
            <w:tcW w:w="1439" w:type="pct"/>
            <w:shd w:val="clear" w:color="auto" w:fill="E0E0E0"/>
          </w:tcPr>
          <w:p w:rsidR="006E4EA7" w:rsidRPr="00345AA8" w:rsidRDefault="006E4EA7" w:rsidP="006E4EA7">
            <w:pPr>
              <w:spacing w:before="60"/>
            </w:pPr>
            <w:r w:rsidRPr="00345AA8">
              <w:t>Passage in Document</w:t>
            </w:r>
          </w:p>
        </w:tc>
        <w:tc>
          <w:tcPr>
            <w:tcW w:w="3561" w:type="pct"/>
          </w:tcPr>
          <w:p w:rsidR="006E4EA7" w:rsidRPr="00345AA8" w:rsidRDefault="00BF761D" w:rsidP="006E4EA7">
            <w:pPr>
              <w:spacing w:before="60"/>
            </w:pPr>
            <w:r w:rsidRPr="00345AA8">
              <w:t>n/a</w:t>
            </w:r>
          </w:p>
        </w:tc>
      </w:tr>
      <w:tr w:rsidR="006E4EA7" w:rsidRPr="00345AA8" w:rsidTr="006E4EA7">
        <w:trPr>
          <w:jc w:val="center"/>
        </w:trPr>
        <w:tc>
          <w:tcPr>
            <w:tcW w:w="1439" w:type="pct"/>
            <w:shd w:val="clear" w:color="auto" w:fill="E0E0E0"/>
          </w:tcPr>
          <w:p w:rsidR="006E4EA7" w:rsidRPr="00345AA8" w:rsidRDefault="006E4EA7" w:rsidP="006E4EA7">
            <w:pPr>
              <w:spacing w:before="60"/>
            </w:pPr>
            <w:r w:rsidRPr="00345AA8">
              <w:t>Tenderer’s Question</w:t>
            </w:r>
          </w:p>
        </w:tc>
        <w:tc>
          <w:tcPr>
            <w:tcW w:w="3561" w:type="pct"/>
          </w:tcPr>
          <w:p w:rsidR="006E4EA7" w:rsidRPr="00345AA8" w:rsidRDefault="00BF761D" w:rsidP="000548A0">
            <w:pPr>
              <w:widowControl w:val="0"/>
              <w:autoSpaceDE w:val="0"/>
              <w:autoSpaceDN w:val="0"/>
              <w:adjustRightInd w:val="0"/>
              <w:spacing w:after="0"/>
            </w:pPr>
            <w:r w:rsidRPr="00345AA8">
              <w:t>Would CARICOM consider a Cloud-based solution versus an On-Premise solution for the CPPNB system?</w:t>
            </w:r>
          </w:p>
        </w:tc>
      </w:tr>
      <w:tr w:rsidR="006E4EA7" w:rsidRPr="00345AA8" w:rsidTr="006E4EA7">
        <w:trPr>
          <w:jc w:val="center"/>
        </w:trPr>
        <w:tc>
          <w:tcPr>
            <w:tcW w:w="1439" w:type="pct"/>
            <w:shd w:val="clear" w:color="auto" w:fill="E0E0E0"/>
          </w:tcPr>
          <w:p w:rsidR="006E4EA7" w:rsidRPr="00345AA8" w:rsidRDefault="006E4EA7" w:rsidP="006E4EA7">
            <w:pPr>
              <w:spacing w:before="60"/>
            </w:pPr>
            <w:r w:rsidRPr="00345AA8">
              <w:t>Answer</w:t>
            </w:r>
          </w:p>
        </w:tc>
        <w:tc>
          <w:tcPr>
            <w:tcW w:w="3561" w:type="pct"/>
          </w:tcPr>
          <w:p w:rsidR="006E4EA7" w:rsidRPr="00345AA8" w:rsidRDefault="0093050C" w:rsidP="0093050C">
            <w:pPr>
              <w:spacing w:before="60"/>
            </w:pPr>
            <w:r w:rsidRPr="00345AA8">
              <w:t>The solution should</w:t>
            </w:r>
            <w:r w:rsidR="00B34951" w:rsidRPr="00345AA8">
              <w:t xml:space="preserve"> be </w:t>
            </w:r>
            <w:proofErr w:type="spellStart"/>
            <w:r w:rsidR="00B34951" w:rsidRPr="00345AA8">
              <w:t>on-</w:t>
            </w:r>
            <w:r w:rsidRPr="00345AA8">
              <w:t>premise</w:t>
            </w:r>
            <w:proofErr w:type="spellEnd"/>
            <w:r w:rsidRPr="00345AA8">
              <w:t>.</w:t>
            </w:r>
          </w:p>
        </w:tc>
      </w:tr>
    </w:tbl>
    <w:p w:rsidR="001E3F4D" w:rsidRPr="00345AA8" w:rsidRDefault="001E3F4D" w:rsidP="001E3F4D">
      <w:pPr>
        <w:pStyle w:val="Clarification"/>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1E3F4D" w:rsidRPr="00345AA8" w:rsidTr="001E3F4D">
        <w:trPr>
          <w:jc w:val="center"/>
        </w:trPr>
        <w:tc>
          <w:tcPr>
            <w:tcW w:w="1439" w:type="pct"/>
            <w:shd w:val="clear" w:color="auto" w:fill="E0E0E0"/>
          </w:tcPr>
          <w:p w:rsidR="001E3F4D" w:rsidRPr="00345AA8" w:rsidRDefault="001E3F4D" w:rsidP="001E3F4D">
            <w:pPr>
              <w:spacing w:before="60"/>
            </w:pPr>
            <w:r w:rsidRPr="00345AA8">
              <w:t>Document/Section/Page Reference</w:t>
            </w:r>
          </w:p>
        </w:tc>
        <w:tc>
          <w:tcPr>
            <w:tcW w:w="3561" w:type="pct"/>
          </w:tcPr>
          <w:p w:rsidR="001E3F4D" w:rsidRPr="00345AA8" w:rsidRDefault="001E3F4D" w:rsidP="001E3F4D">
            <w:pPr>
              <w:spacing w:before="60"/>
            </w:pPr>
            <w:r w:rsidRPr="00345AA8">
              <w:t xml:space="preserve">Annex II and III- Technical Specifications CPPNB - Final (2) </w:t>
            </w:r>
            <w:proofErr w:type="spellStart"/>
            <w:r w:rsidRPr="00345AA8">
              <w:t>cj</w:t>
            </w:r>
            <w:proofErr w:type="spellEnd"/>
          </w:p>
        </w:tc>
      </w:tr>
      <w:tr w:rsidR="001E3F4D" w:rsidRPr="00345AA8" w:rsidTr="001E3F4D">
        <w:trPr>
          <w:jc w:val="center"/>
        </w:trPr>
        <w:tc>
          <w:tcPr>
            <w:tcW w:w="1439" w:type="pct"/>
            <w:shd w:val="clear" w:color="auto" w:fill="E0E0E0"/>
          </w:tcPr>
          <w:p w:rsidR="001E3F4D" w:rsidRPr="00345AA8" w:rsidRDefault="001E3F4D" w:rsidP="001E3F4D">
            <w:pPr>
              <w:spacing w:before="60"/>
            </w:pPr>
            <w:r w:rsidRPr="00345AA8">
              <w:t>Topic in Document</w:t>
            </w:r>
          </w:p>
        </w:tc>
        <w:tc>
          <w:tcPr>
            <w:tcW w:w="3561" w:type="pct"/>
          </w:tcPr>
          <w:p w:rsidR="001E3F4D" w:rsidRPr="00345AA8" w:rsidRDefault="001E3F4D" w:rsidP="001E3F4D">
            <w:pPr>
              <w:spacing w:before="60"/>
            </w:pPr>
            <w:r w:rsidRPr="00345AA8">
              <w:t>Document or content management system</w:t>
            </w:r>
          </w:p>
        </w:tc>
      </w:tr>
      <w:tr w:rsidR="001E3F4D" w:rsidRPr="00345AA8" w:rsidTr="001E3F4D">
        <w:trPr>
          <w:trHeight w:val="251"/>
          <w:jc w:val="center"/>
        </w:trPr>
        <w:tc>
          <w:tcPr>
            <w:tcW w:w="1439" w:type="pct"/>
            <w:shd w:val="clear" w:color="auto" w:fill="E0E0E0"/>
          </w:tcPr>
          <w:p w:rsidR="001E3F4D" w:rsidRPr="00345AA8" w:rsidRDefault="001E3F4D" w:rsidP="001E3F4D">
            <w:pPr>
              <w:spacing w:before="60"/>
            </w:pPr>
            <w:r w:rsidRPr="00345AA8">
              <w:t>Passage in Document</w:t>
            </w:r>
          </w:p>
        </w:tc>
        <w:tc>
          <w:tcPr>
            <w:tcW w:w="3561" w:type="pct"/>
          </w:tcPr>
          <w:p w:rsidR="001E3F4D" w:rsidRPr="00345AA8" w:rsidRDefault="001E3F4D" w:rsidP="001E3F4D">
            <w:pPr>
              <w:spacing w:before="60"/>
            </w:pPr>
            <w:r w:rsidRPr="00345AA8">
              <w:t>n/a</w:t>
            </w:r>
          </w:p>
        </w:tc>
      </w:tr>
      <w:tr w:rsidR="001E3F4D" w:rsidRPr="00345AA8" w:rsidTr="001E3F4D">
        <w:trPr>
          <w:jc w:val="center"/>
        </w:trPr>
        <w:tc>
          <w:tcPr>
            <w:tcW w:w="1439" w:type="pct"/>
            <w:shd w:val="clear" w:color="auto" w:fill="E0E0E0"/>
          </w:tcPr>
          <w:p w:rsidR="001E3F4D" w:rsidRPr="00345AA8" w:rsidRDefault="001E3F4D" w:rsidP="001E3F4D">
            <w:pPr>
              <w:spacing w:before="60"/>
            </w:pPr>
            <w:r w:rsidRPr="00345AA8">
              <w:t>Tenderer’s Question</w:t>
            </w:r>
          </w:p>
        </w:tc>
        <w:tc>
          <w:tcPr>
            <w:tcW w:w="3561" w:type="pct"/>
          </w:tcPr>
          <w:p w:rsidR="001E3F4D" w:rsidRPr="00345AA8" w:rsidRDefault="001E3F4D" w:rsidP="001E3F4D">
            <w:pPr>
              <w:widowControl w:val="0"/>
              <w:autoSpaceDE w:val="0"/>
              <w:autoSpaceDN w:val="0"/>
              <w:adjustRightInd w:val="0"/>
              <w:spacing w:after="0"/>
            </w:pPr>
            <w:r w:rsidRPr="00345AA8">
              <w:t>Does CARICOM Secretariat have any existing document or content management system in place? If yes, please specify the product/vendor for the system.</w:t>
            </w:r>
          </w:p>
        </w:tc>
      </w:tr>
      <w:tr w:rsidR="001E3F4D" w:rsidRPr="00345AA8" w:rsidTr="001E3F4D">
        <w:trPr>
          <w:jc w:val="center"/>
        </w:trPr>
        <w:tc>
          <w:tcPr>
            <w:tcW w:w="1439" w:type="pct"/>
            <w:shd w:val="clear" w:color="auto" w:fill="E0E0E0"/>
          </w:tcPr>
          <w:p w:rsidR="001E3F4D" w:rsidRPr="00345AA8" w:rsidRDefault="001E3F4D" w:rsidP="001E3F4D">
            <w:pPr>
              <w:spacing w:before="60"/>
            </w:pPr>
            <w:r w:rsidRPr="00345AA8">
              <w:t>Answer</w:t>
            </w:r>
          </w:p>
        </w:tc>
        <w:tc>
          <w:tcPr>
            <w:tcW w:w="3561" w:type="pct"/>
          </w:tcPr>
          <w:p w:rsidR="001E3F4D" w:rsidRPr="00345AA8" w:rsidRDefault="00041F61" w:rsidP="001E3F4D">
            <w:pPr>
              <w:spacing w:before="60"/>
            </w:pPr>
            <w:r w:rsidRPr="00345AA8">
              <w:t xml:space="preserve">No </w:t>
            </w:r>
          </w:p>
        </w:tc>
      </w:tr>
    </w:tbl>
    <w:p w:rsidR="001E3F4D" w:rsidRPr="00345AA8" w:rsidRDefault="001E3F4D" w:rsidP="001E3F4D">
      <w:pPr>
        <w:pStyle w:val="Clarification"/>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1E3F4D" w:rsidRPr="00345AA8" w:rsidTr="001E3F4D">
        <w:trPr>
          <w:jc w:val="center"/>
        </w:trPr>
        <w:tc>
          <w:tcPr>
            <w:tcW w:w="1439" w:type="pct"/>
            <w:shd w:val="clear" w:color="auto" w:fill="E0E0E0"/>
          </w:tcPr>
          <w:p w:rsidR="001E3F4D" w:rsidRPr="00345AA8" w:rsidRDefault="001E3F4D" w:rsidP="001E3F4D">
            <w:pPr>
              <w:spacing w:before="60"/>
            </w:pPr>
            <w:r w:rsidRPr="00345AA8">
              <w:t>Document/Section/Page Reference</w:t>
            </w:r>
          </w:p>
        </w:tc>
        <w:tc>
          <w:tcPr>
            <w:tcW w:w="3561" w:type="pct"/>
          </w:tcPr>
          <w:p w:rsidR="001E3F4D" w:rsidRPr="00345AA8" w:rsidRDefault="001E3F4D" w:rsidP="001E3F4D">
            <w:pPr>
              <w:spacing w:before="60"/>
            </w:pPr>
            <w:r w:rsidRPr="00345AA8">
              <w:t xml:space="preserve">Annex II and III- Technical Specifications CPPNB - Final (2) </w:t>
            </w:r>
            <w:proofErr w:type="spellStart"/>
            <w:r w:rsidRPr="00345AA8">
              <w:t>cj</w:t>
            </w:r>
            <w:proofErr w:type="spellEnd"/>
          </w:p>
        </w:tc>
      </w:tr>
      <w:tr w:rsidR="001E3F4D" w:rsidRPr="00345AA8" w:rsidTr="001E3F4D">
        <w:trPr>
          <w:jc w:val="center"/>
        </w:trPr>
        <w:tc>
          <w:tcPr>
            <w:tcW w:w="1439" w:type="pct"/>
            <w:shd w:val="clear" w:color="auto" w:fill="E0E0E0"/>
          </w:tcPr>
          <w:p w:rsidR="001E3F4D" w:rsidRPr="00345AA8" w:rsidRDefault="001E3F4D" w:rsidP="001E3F4D">
            <w:pPr>
              <w:spacing w:before="60"/>
            </w:pPr>
            <w:r w:rsidRPr="00345AA8">
              <w:lastRenderedPageBreak/>
              <w:t>Topic in Document</w:t>
            </w:r>
          </w:p>
        </w:tc>
        <w:tc>
          <w:tcPr>
            <w:tcW w:w="3561" w:type="pct"/>
          </w:tcPr>
          <w:p w:rsidR="001E3F4D" w:rsidRPr="00345AA8" w:rsidRDefault="001E3F4D" w:rsidP="001E3F4D">
            <w:pPr>
              <w:spacing w:before="60"/>
            </w:pPr>
            <w:r w:rsidRPr="00345AA8">
              <w:t>Item 1.19 CPPNB</w:t>
            </w:r>
          </w:p>
        </w:tc>
      </w:tr>
      <w:tr w:rsidR="001E3F4D" w:rsidRPr="00345AA8" w:rsidTr="001E3F4D">
        <w:trPr>
          <w:trHeight w:val="251"/>
          <w:jc w:val="center"/>
        </w:trPr>
        <w:tc>
          <w:tcPr>
            <w:tcW w:w="1439" w:type="pct"/>
            <w:shd w:val="clear" w:color="auto" w:fill="E0E0E0"/>
          </w:tcPr>
          <w:p w:rsidR="001E3F4D" w:rsidRPr="00345AA8" w:rsidRDefault="001E3F4D" w:rsidP="001E3F4D">
            <w:pPr>
              <w:spacing w:before="60"/>
            </w:pPr>
            <w:r w:rsidRPr="00345AA8">
              <w:t>Passage in Document</w:t>
            </w:r>
          </w:p>
        </w:tc>
        <w:tc>
          <w:tcPr>
            <w:tcW w:w="3561" w:type="pct"/>
          </w:tcPr>
          <w:p w:rsidR="001E3F4D" w:rsidRPr="00345AA8" w:rsidRDefault="001E3F4D" w:rsidP="001E3F4D">
            <w:pPr>
              <w:spacing w:before="60"/>
            </w:pPr>
            <w:r w:rsidRPr="00345AA8">
              <w:t>n/a</w:t>
            </w:r>
          </w:p>
        </w:tc>
      </w:tr>
      <w:tr w:rsidR="001E3F4D" w:rsidRPr="00345AA8" w:rsidTr="001E3F4D">
        <w:trPr>
          <w:jc w:val="center"/>
        </w:trPr>
        <w:tc>
          <w:tcPr>
            <w:tcW w:w="1439" w:type="pct"/>
            <w:shd w:val="clear" w:color="auto" w:fill="E0E0E0"/>
          </w:tcPr>
          <w:p w:rsidR="001E3F4D" w:rsidRPr="00345AA8" w:rsidRDefault="001E3F4D" w:rsidP="001E3F4D">
            <w:pPr>
              <w:spacing w:before="60"/>
            </w:pPr>
            <w:r w:rsidRPr="00345AA8">
              <w:t>Tenderer’s Question</w:t>
            </w:r>
          </w:p>
        </w:tc>
        <w:tc>
          <w:tcPr>
            <w:tcW w:w="3561" w:type="pct"/>
          </w:tcPr>
          <w:p w:rsidR="001E3F4D" w:rsidRPr="00345AA8" w:rsidRDefault="001E3F4D" w:rsidP="001E3F4D">
            <w:pPr>
              <w:widowControl w:val="0"/>
              <w:autoSpaceDE w:val="0"/>
              <w:autoSpaceDN w:val="0"/>
              <w:adjustRightInd w:val="0"/>
              <w:spacing w:after="0"/>
              <w:jc w:val="left"/>
            </w:pPr>
            <w:r w:rsidRPr="00345AA8">
              <w:t>CARICOM indicated that the CPPNB must provide support for minimum 5,000 procuring entities and minimum 10,000 bidders and other users with no restrictions. What is the breakdown of the quantity of user for the various modules required as follows:</w:t>
            </w:r>
          </w:p>
          <w:p w:rsidR="001E3F4D" w:rsidRPr="00345AA8" w:rsidRDefault="001E3F4D" w:rsidP="001E3F4D">
            <w:pPr>
              <w:widowControl w:val="0"/>
              <w:autoSpaceDE w:val="0"/>
              <w:autoSpaceDN w:val="0"/>
              <w:adjustRightInd w:val="0"/>
              <w:spacing w:after="0"/>
              <w:jc w:val="left"/>
            </w:pPr>
            <w:r w:rsidRPr="00345AA8">
              <w:t>a. Number of users for the Documents and Content Management Module?</w:t>
            </w:r>
          </w:p>
          <w:p w:rsidR="001E3F4D" w:rsidRPr="00345AA8" w:rsidRDefault="001E3F4D" w:rsidP="001E3F4D">
            <w:pPr>
              <w:widowControl w:val="0"/>
              <w:autoSpaceDE w:val="0"/>
              <w:autoSpaceDN w:val="0"/>
              <w:adjustRightInd w:val="0"/>
              <w:spacing w:after="0"/>
              <w:jc w:val="left"/>
            </w:pPr>
            <w:r w:rsidRPr="00345AA8">
              <w:t>b. Number of users for the Documents Capture Software Module?</w:t>
            </w:r>
          </w:p>
          <w:p w:rsidR="001E3F4D" w:rsidRPr="00345AA8" w:rsidRDefault="001E3F4D" w:rsidP="001E3F4D">
            <w:pPr>
              <w:widowControl w:val="0"/>
              <w:autoSpaceDE w:val="0"/>
              <w:autoSpaceDN w:val="0"/>
              <w:adjustRightInd w:val="0"/>
              <w:spacing w:after="0"/>
              <w:jc w:val="left"/>
            </w:pPr>
            <w:r w:rsidRPr="00345AA8">
              <w:t>c. Number of users for the Workflows?</w:t>
            </w:r>
          </w:p>
        </w:tc>
      </w:tr>
      <w:tr w:rsidR="001E3F4D" w:rsidRPr="00345AA8" w:rsidTr="001E3F4D">
        <w:trPr>
          <w:jc w:val="center"/>
        </w:trPr>
        <w:tc>
          <w:tcPr>
            <w:tcW w:w="1439" w:type="pct"/>
            <w:shd w:val="clear" w:color="auto" w:fill="E0E0E0"/>
          </w:tcPr>
          <w:p w:rsidR="001E3F4D" w:rsidRPr="00345AA8" w:rsidRDefault="001E3F4D" w:rsidP="001E3F4D">
            <w:pPr>
              <w:spacing w:before="60"/>
            </w:pPr>
            <w:r w:rsidRPr="00345AA8">
              <w:t>Answer</w:t>
            </w:r>
          </w:p>
        </w:tc>
        <w:tc>
          <w:tcPr>
            <w:tcW w:w="3561" w:type="pct"/>
          </w:tcPr>
          <w:p w:rsidR="003D5BF7" w:rsidRPr="00345AA8" w:rsidRDefault="001E3F4D" w:rsidP="0004070C">
            <w:pPr>
              <w:spacing w:before="60"/>
            </w:pPr>
            <w:r w:rsidRPr="00345AA8">
              <w:t>For the time being, only procuring</w:t>
            </w:r>
            <w:r w:rsidR="0004070C" w:rsidRPr="00345AA8">
              <w:t xml:space="preserve"> entities will use </w:t>
            </w:r>
            <w:r w:rsidRPr="00345AA8">
              <w:t>the</w:t>
            </w:r>
            <w:r w:rsidR="0004070C" w:rsidRPr="00345AA8">
              <w:t xml:space="preserve"> </w:t>
            </w:r>
            <w:r w:rsidRPr="00345AA8">
              <w:t>modules</w:t>
            </w:r>
            <w:r w:rsidR="0004070C" w:rsidRPr="00345AA8">
              <w:t xml:space="preserve"> specified above</w:t>
            </w:r>
            <w:r w:rsidRPr="00345AA8">
              <w:t xml:space="preserve">. </w:t>
            </w:r>
          </w:p>
        </w:tc>
      </w:tr>
    </w:tbl>
    <w:p w:rsidR="001E3F4D" w:rsidRPr="00345AA8" w:rsidRDefault="001E3F4D" w:rsidP="001E3F4D">
      <w:pPr>
        <w:pStyle w:val="Clarification"/>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1E3F4D" w:rsidRPr="00345AA8" w:rsidTr="001E3F4D">
        <w:trPr>
          <w:jc w:val="center"/>
        </w:trPr>
        <w:tc>
          <w:tcPr>
            <w:tcW w:w="1439" w:type="pct"/>
            <w:shd w:val="clear" w:color="auto" w:fill="E0E0E0"/>
          </w:tcPr>
          <w:p w:rsidR="001E3F4D" w:rsidRPr="00345AA8" w:rsidRDefault="001E3F4D" w:rsidP="001E3F4D">
            <w:pPr>
              <w:spacing w:before="60"/>
            </w:pPr>
            <w:r w:rsidRPr="00345AA8">
              <w:t>Document/Section/Page Reference</w:t>
            </w:r>
          </w:p>
        </w:tc>
        <w:tc>
          <w:tcPr>
            <w:tcW w:w="3561" w:type="pct"/>
          </w:tcPr>
          <w:p w:rsidR="001E3F4D" w:rsidRPr="00345AA8" w:rsidRDefault="001E3F4D" w:rsidP="001E3F4D">
            <w:pPr>
              <w:spacing w:before="60"/>
            </w:pPr>
            <w:r w:rsidRPr="00345AA8">
              <w:t xml:space="preserve">Annex II and III- Technical Specifications CPPNB - Final (2) </w:t>
            </w:r>
            <w:proofErr w:type="spellStart"/>
            <w:r w:rsidRPr="00345AA8">
              <w:t>cj</w:t>
            </w:r>
            <w:proofErr w:type="spellEnd"/>
          </w:p>
        </w:tc>
      </w:tr>
      <w:tr w:rsidR="001E3F4D" w:rsidRPr="00345AA8" w:rsidTr="001E3F4D">
        <w:trPr>
          <w:jc w:val="center"/>
        </w:trPr>
        <w:tc>
          <w:tcPr>
            <w:tcW w:w="1439" w:type="pct"/>
            <w:shd w:val="clear" w:color="auto" w:fill="E0E0E0"/>
          </w:tcPr>
          <w:p w:rsidR="001E3F4D" w:rsidRPr="00345AA8" w:rsidRDefault="001E3F4D" w:rsidP="001E3F4D">
            <w:pPr>
              <w:spacing w:before="60"/>
            </w:pPr>
            <w:r w:rsidRPr="00345AA8">
              <w:t>Topic in Document</w:t>
            </w:r>
          </w:p>
        </w:tc>
        <w:tc>
          <w:tcPr>
            <w:tcW w:w="3561" w:type="pct"/>
          </w:tcPr>
          <w:p w:rsidR="001E3F4D" w:rsidRPr="00345AA8" w:rsidRDefault="00480445" w:rsidP="001E3F4D">
            <w:pPr>
              <w:spacing w:before="60"/>
            </w:pPr>
            <w:r w:rsidRPr="00345AA8">
              <w:t>Implementation services</w:t>
            </w:r>
          </w:p>
        </w:tc>
      </w:tr>
      <w:tr w:rsidR="001E3F4D" w:rsidRPr="00345AA8" w:rsidTr="001E3F4D">
        <w:trPr>
          <w:trHeight w:val="251"/>
          <w:jc w:val="center"/>
        </w:trPr>
        <w:tc>
          <w:tcPr>
            <w:tcW w:w="1439" w:type="pct"/>
            <w:shd w:val="clear" w:color="auto" w:fill="E0E0E0"/>
          </w:tcPr>
          <w:p w:rsidR="001E3F4D" w:rsidRPr="00345AA8" w:rsidRDefault="001E3F4D" w:rsidP="001E3F4D">
            <w:pPr>
              <w:spacing w:before="60"/>
            </w:pPr>
            <w:r w:rsidRPr="00345AA8">
              <w:t>Passage in Document</w:t>
            </w:r>
          </w:p>
        </w:tc>
        <w:tc>
          <w:tcPr>
            <w:tcW w:w="3561" w:type="pct"/>
          </w:tcPr>
          <w:p w:rsidR="001E3F4D" w:rsidRPr="00345AA8" w:rsidRDefault="001E3F4D" w:rsidP="001E3F4D">
            <w:pPr>
              <w:spacing w:before="60"/>
            </w:pPr>
            <w:r w:rsidRPr="00345AA8">
              <w:t>n/a</w:t>
            </w:r>
          </w:p>
        </w:tc>
      </w:tr>
      <w:tr w:rsidR="001E3F4D" w:rsidRPr="00345AA8" w:rsidTr="001E3F4D">
        <w:trPr>
          <w:jc w:val="center"/>
        </w:trPr>
        <w:tc>
          <w:tcPr>
            <w:tcW w:w="1439" w:type="pct"/>
            <w:shd w:val="clear" w:color="auto" w:fill="E0E0E0"/>
          </w:tcPr>
          <w:p w:rsidR="001E3F4D" w:rsidRPr="00345AA8" w:rsidRDefault="001E3F4D" w:rsidP="001E3F4D">
            <w:pPr>
              <w:spacing w:before="60"/>
            </w:pPr>
            <w:r w:rsidRPr="00345AA8">
              <w:t>Tenderer’s Question</w:t>
            </w:r>
          </w:p>
        </w:tc>
        <w:tc>
          <w:tcPr>
            <w:tcW w:w="3561" w:type="pct"/>
          </w:tcPr>
          <w:p w:rsidR="001E3F4D" w:rsidRPr="00345AA8" w:rsidRDefault="00480445" w:rsidP="004B2272">
            <w:pPr>
              <w:widowControl w:val="0"/>
              <w:autoSpaceDE w:val="0"/>
              <w:autoSpaceDN w:val="0"/>
              <w:adjustRightInd w:val="0"/>
              <w:spacing w:after="0"/>
            </w:pPr>
            <w:r w:rsidRPr="00345AA8">
              <w:t>In addition to providing licenses requested, are vendors also required to supply implementation services?</w:t>
            </w:r>
          </w:p>
        </w:tc>
      </w:tr>
      <w:tr w:rsidR="001E3F4D" w:rsidRPr="00345AA8" w:rsidTr="001E3F4D">
        <w:trPr>
          <w:jc w:val="center"/>
        </w:trPr>
        <w:tc>
          <w:tcPr>
            <w:tcW w:w="1439" w:type="pct"/>
            <w:shd w:val="clear" w:color="auto" w:fill="E0E0E0"/>
          </w:tcPr>
          <w:p w:rsidR="001E3F4D" w:rsidRPr="00345AA8" w:rsidRDefault="001E3F4D" w:rsidP="001E3F4D">
            <w:pPr>
              <w:spacing w:before="60"/>
            </w:pPr>
            <w:r w:rsidRPr="00345AA8">
              <w:t>Answer</w:t>
            </w:r>
          </w:p>
        </w:tc>
        <w:tc>
          <w:tcPr>
            <w:tcW w:w="3561" w:type="pct"/>
          </w:tcPr>
          <w:p w:rsidR="001E3F4D" w:rsidRPr="00345AA8" w:rsidRDefault="00480445" w:rsidP="001E3F4D">
            <w:pPr>
              <w:spacing w:before="60"/>
            </w:pPr>
            <w:r w:rsidRPr="00345AA8">
              <w:t>Yes</w:t>
            </w:r>
          </w:p>
        </w:tc>
      </w:tr>
    </w:tbl>
    <w:p w:rsidR="001E3F4D" w:rsidRPr="00345AA8" w:rsidRDefault="001E3F4D" w:rsidP="001E3F4D">
      <w:pPr>
        <w:pStyle w:val="Clarification"/>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1E3F4D" w:rsidRPr="00345AA8" w:rsidTr="001E3F4D">
        <w:trPr>
          <w:jc w:val="center"/>
        </w:trPr>
        <w:tc>
          <w:tcPr>
            <w:tcW w:w="1439" w:type="pct"/>
            <w:shd w:val="clear" w:color="auto" w:fill="E0E0E0"/>
          </w:tcPr>
          <w:p w:rsidR="001E3F4D" w:rsidRPr="00345AA8" w:rsidRDefault="001E3F4D" w:rsidP="001E3F4D">
            <w:pPr>
              <w:spacing w:before="60"/>
            </w:pPr>
            <w:r w:rsidRPr="00345AA8">
              <w:t>Document/Section/Page Reference</w:t>
            </w:r>
          </w:p>
        </w:tc>
        <w:tc>
          <w:tcPr>
            <w:tcW w:w="3561" w:type="pct"/>
          </w:tcPr>
          <w:p w:rsidR="001E3F4D" w:rsidRPr="00345AA8" w:rsidRDefault="001E3F4D" w:rsidP="001E3F4D">
            <w:pPr>
              <w:spacing w:before="60"/>
            </w:pPr>
            <w:r w:rsidRPr="00345AA8">
              <w:t xml:space="preserve">Annex II and III- Technical Specifications CPPNB - Final (2) </w:t>
            </w:r>
            <w:proofErr w:type="spellStart"/>
            <w:r w:rsidRPr="00345AA8">
              <w:t>cj</w:t>
            </w:r>
            <w:proofErr w:type="spellEnd"/>
          </w:p>
        </w:tc>
      </w:tr>
      <w:tr w:rsidR="001E3F4D" w:rsidRPr="00345AA8" w:rsidTr="001E3F4D">
        <w:trPr>
          <w:jc w:val="center"/>
        </w:trPr>
        <w:tc>
          <w:tcPr>
            <w:tcW w:w="1439" w:type="pct"/>
            <w:shd w:val="clear" w:color="auto" w:fill="E0E0E0"/>
          </w:tcPr>
          <w:p w:rsidR="001E3F4D" w:rsidRPr="00345AA8" w:rsidRDefault="001E3F4D" w:rsidP="001E3F4D">
            <w:pPr>
              <w:spacing w:before="60"/>
            </w:pPr>
            <w:r w:rsidRPr="00345AA8">
              <w:t>Topic in Document</w:t>
            </w:r>
          </w:p>
        </w:tc>
        <w:tc>
          <w:tcPr>
            <w:tcW w:w="3561" w:type="pct"/>
          </w:tcPr>
          <w:p w:rsidR="001E3F4D" w:rsidRPr="00345AA8" w:rsidRDefault="004B2272" w:rsidP="001E3F4D">
            <w:pPr>
              <w:spacing w:before="60"/>
            </w:pPr>
            <w:r w:rsidRPr="00345AA8">
              <w:t>Part lots</w:t>
            </w:r>
          </w:p>
        </w:tc>
      </w:tr>
      <w:tr w:rsidR="001E3F4D" w:rsidRPr="00345AA8" w:rsidTr="001E3F4D">
        <w:trPr>
          <w:trHeight w:val="251"/>
          <w:jc w:val="center"/>
        </w:trPr>
        <w:tc>
          <w:tcPr>
            <w:tcW w:w="1439" w:type="pct"/>
            <w:shd w:val="clear" w:color="auto" w:fill="E0E0E0"/>
          </w:tcPr>
          <w:p w:rsidR="001E3F4D" w:rsidRPr="00345AA8" w:rsidRDefault="001E3F4D" w:rsidP="001E3F4D">
            <w:pPr>
              <w:spacing w:before="60"/>
            </w:pPr>
            <w:r w:rsidRPr="00345AA8">
              <w:t>Passage in Document</w:t>
            </w:r>
          </w:p>
        </w:tc>
        <w:tc>
          <w:tcPr>
            <w:tcW w:w="3561" w:type="pct"/>
          </w:tcPr>
          <w:p w:rsidR="001E3F4D" w:rsidRPr="00345AA8" w:rsidRDefault="001E3F4D" w:rsidP="001E3F4D">
            <w:pPr>
              <w:spacing w:before="60"/>
            </w:pPr>
            <w:r w:rsidRPr="00345AA8">
              <w:t>n/a</w:t>
            </w:r>
          </w:p>
        </w:tc>
      </w:tr>
      <w:tr w:rsidR="001E3F4D" w:rsidRPr="00345AA8" w:rsidTr="001E3F4D">
        <w:trPr>
          <w:jc w:val="center"/>
        </w:trPr>
        <w:tc>
          <w:tcPr>
            <w:tcW w:w="1439" w:type="pct"/>
            <w:shd w:val="clear" w:color="auto" w:fill="E0E0E0"/>
          </w:tcPr>
          <w:p w:rsidR="001E3F4D" w:rsidRPr="00345AA8" w:rsidRDefault="001E3F4D" w:rsidP="001E3F4D">
            <w:pPr>
              <w:spacing w:before="60"/>
            </w:pPr>
            <w:r w:rsidRPr="00345AA8">
              <w:t>Tenderer’s Question</w:t>
            </w:r>
          </w:p>
        </w:tc>
        <w:tc>
          <w:tcPr>
            <w:tcW w:w="3561" w:type="pct"/>
          </w:tcPr>
          <w:p w:rsidR="001E3F4D" w:rsidRPr="00345AA8" w:rsidRDefault="004B2272" w:rsidP="004B2272">
            <w:pPr>
              <w:widowControl w:val="0"/>
              <w:autoSpaceDE w:val="0"/>
              <w:autoSpaceDN w:val="0"/>
              <w:adjustRightInd w:val="0"/>
              <w:spacing w:after="0"/>
              <w:rPr>
                <w:rFonts w:cs="Calibri"/>
                <w:lang w:val="en-US" w:eastAsia="en-GB"/>
              </w:rPr>
            </w:pPr>
            <w:r w:rsidRPr="00345AA8">
              <w:t>Are part lots allowed? For instance if we were use Lot 1 as an example, could we tender for Items 1.1 to 1.17 and omit 1.18 and 1.19?</w:t>
            </w:r>
          </w:p>
        </w:tc>
      </w:tr>
      <w:tr w:rsidR="001E3F4D" w:rsidRPr="00345AA8" w:rsidTr="001E3F4D">
        <w:trPr>
          <w:jc w:val="center"/>
        </w:trPr>
        <w:tc>
          <w:tcPr>
            <w:tcW w:w="1439" w:type="pct"/>
            <w:shd w:val="clear" w:color="auto" w:fill="E0E0E0"/>
          </w:tcPr>
          <w:p w:rsidR="001E3F4D" w:rsidRPr="00345AA8" w:rsidRDefault="001E3F4D" w:rsidP="001E3F4D">
            <w:pPr>
              <w:spacing w:before="60"/>
            </w:pPr>
            <w:r w:rsidRPr="00345AA8">
              <w:t>Answer</w:t>
            </w:r>
          </w:p>
        </w:tc>
        <w:tc>
          <w:tcPr>
            <w:tcW w:w="3561" w:type="pct"/>
          </w:tcPr>
          <w:p w:rsidR="001E3F4D" w:rsidRPr="00345AA8" w:rsidRDefault="001E3F4D" w:rsidP="00C30F8B">
            <w:pPr>
              <w:spacing w:before="60"/>
            </w:pPr>
            <w:r w:rsidRPr="00345AA8">
              <w:t>No</w:t>
            </w:r>
            <w:r w:rsidR="00C30F8B" w:rsidRPr="00345AA8">
              <w:t>. (Please also refer to point 7.2 in the Instructions to Tenders for additional information).</w:t>
            </w:r>
          </w:p>
        </w:tc>
      </w:tr>
    </w:tbl>
    <w:p w:rsidR="004B2272" w:rsidRPr="00345AA8" w:rsidRDefault="004B2272" w:rsidP="004B2272">
      <w:pPr>
        <w:pStyle w:val="Clarification"/>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4B2272" w:rsidRPr="00345AA8" w:rsidTr="004B2272">
        <w:trPr>
          <w:jc w:val="center"/>
        </w:trPr>
        <w:tc>
          <w:tcPr>
            <w:tcW w:w="1439" w:type="pct"/>
            <w:shd w:val="clear" w:color="auto" w:fill="E0E0E0"/>
          </w:tcPr>
          <w:p w:rsidR="004B2272" w:rsidRPr="00345AA8" w:rsidRDefault="004B2272" w:rsidP="004B2272">
            <w:pPr>
              <w:spacing w:before="60"/>
            </w:pPr>
            <w:r w:rsidRPr="00345AA8">
              <w:t>Document/Section/Page Reference</w:t>
            </w:r>
          </w:p>
        </w:tc>
        <w:tc>
          <w:tcPr>
            <w:tcW w:w="3561" w:type="pct"/>
          </w:tcPr>
          <w:p w:rsidR="004B2272" w:rsidRPr="00345AA8" w:rsidRDefault="004B2272" w:rsidP="004B2272">
            <w:pPr>
              <w:spacing w:before="60"/>
            </w:pPr>
            <w:r w:rsidRPr="00345AA8">
              <w:t xml:space="preserve">Annex II and III- Technical Specifications CPPNB - Final (2) </w:t>
            </w:r>
            <w:proofErr w:type="spellStart"/>
            <w:r w:rsidRPr="00345AA8">
              <w:t>cj</w:t>
            </w:r>
            <w:proofErr w:type="spellEnd"/>
          </w:p>
        </w:tc>
      </w:tr>
      <w:tr w:rsidR="004B2272" w:rsidRPr="00345AA8" w:rsidTr="004B2272">
        <w:trPr>
          <w:jc w:val="center"/>
        </w:trPr>
        <w:tc>
          <w:tcPr>
            <w:tcW w:w="1439" w:type="pct"/>
            <w:shd w:val="clear" w:color="auto" w:fill="E0E0E0"/>
          </w:tcPr>
          <w:p w:rsidR="004B2272" w:rsidRPr="00345AA8" w:rsidRDefault="004B2272" w:rsidP="004B2272">
            <w:pPr>
              <w:spacing w:before="60"/>
            </w:pPr>
            <w:r w:rsidRPr="00345AA8">
              <w:t>Topic in Document</w:t>
            </w:r>
          </w:p>
        </w:tc>
        <w:tc>
          <w:tcPr>
            <w:tcW w:w="3561" w:type="pct"/>
          </w:tcPr>
          <w:p w:rsidR="004B2272" w:rsidRPr="00345AA8" w:rsidRDefault="004B2272" w:rsidP="004B2272">
            <w:pPr>
              <w:spacing w:before="60"/>
            </w:pPr>
            <w:r w:rsidRPr="00345AA8">
              <w:t>Deadline</w:t>
            </w:r>
          </w:p>
        </w:tc>
      </w:tr>
      <w:tr w:rsidR="004B2272" w:rsidRPr="00345AA8" w:rsidTr="004B2272">
        <w:trPr>
          <w:trHeight w:val="251"/>
          <w:jc w:val="center"/>
        </w:trPr>
        <w:tc>
          <w:tcPr>
            <w:tcW w:w="1439" w:type="pct"/>
            <w:shd w:val="clear" w:color="auto" w:fill="E0E0E0"/>
          </w:tcPr>
          <w:p w:rsidR="004B2272" w:rsidRPr="00345AA8" w:rsidRDefault="004B2272" w:rsidP="004B2272">
            <w:pPr>
              <w:spacing w:before="60"/>
            </w:pPr>
            <w:r w:rsidRPr="00345AA8">
              <w:t>Passage in Document</w:t>
            </w:r>
          </w:p>
        </w:tc>
        <w:tc>
          <w:tcPr>
            <w:tcW w:w="3561" w:type="pct"/>
          </w:tcPr>
          <w:p w:rsidR="004B2272" w:rsidRPr="00345AA8" w:rsidRDefault="004B2272" w:rsidP="004B2272">
            <w:pPr>
              <w:spacing w:before="60"/>
            </w:pPr>
            <w:r w:rsidRPr="00345AA8">
              <w:t>n/a</w:t>
            </w:r>
          </w:p>
        </w:tc>
      </w:tr>
      <w:tr w:rsidR="004B2272" w:rsidRPr="00345AA8" w:rsidTr="004B2272">
        <w:trPr>
          <w:jc w:val="center"/>
        </w:trPr>
        <w:tc>
          <w:tcPr>
            <w:tcW w:w="1439" w:type="pct"/>
            <w:shd w:val="clear" w:color="auto" w:fill="E0E0E0"/>
          </w:tcPr>
          <w:p w:rsidR="004B2272" w:rsidRPr="00345AA8" w:rsidRDefault="004B2272" w:rsidP="004B2272">
            <w:pPr>
              <w:spacing w:before="60"/>
            </w:pPr>
            <w:r w:rsidRPr="00345AA8">
              <w:t>Tenderer’s Question</w:t>
            </w:r>
          </w:p>
        </w:tc>
        <w:tc>
          <w:tcPr>
            <w:tcW w:w="3561" w:type="pct"/>
          </w:tcPr>
          <w:p w:rsidR="004B2272" w:rsidRPr="00345AA8" w:rsidRDefault="004B2272" w:rsidP="004B2272">
            <w:pPr>
              <w:spacing w:before="60"/>
            </w:pPr>
            <w:r w:rsidRPr="00345AA8">
              <w:t>Is an extended deadline date possible for us?</w:t>
            </w:r>
          </w:p>
        </w:tc>
      </w:tr>
      <w:tr w:rsidR="004B2272" w:rsidRPr="00345AA8" w:rsidTr="004B2272">
        <w:trPr>
          <w:jc w:val="center"/>
        </w:trPr>
        <w:tc>
          <w:tcPr>
            <w:tcW w:w="1439" w:type="pct"/>
            <w:shd w:val="clear" w:color="auto" w:fill="E0E0E0"/>
          </w:tcPr>
          <w:p w:rsidR="004B2272" w:rsidRPr="00345AA8" w:rsidRDefault="004B2272" w:rsidP="004B2272">
            <w:pPr>
              <w:spacing w:before="60"/>
            </w:pPr>
            <w:r w:rsidRPr="00D01CC1">
              <w:t>Answer</w:t>
            </w:r>
          </w:p>
        </w:tc>
        <w:tc>
          <w:tcPr>
            <w:tcW w:w="3561" w:type="pct"/>
          </w:tcPr>
          <w:p w:rsidR="004B2272" w:rsidRPr="00345AA8" w:rsidRDefault="00B7553C" w:rsidP="004B2272">
            <w:pPr>
              <w:spacing w:before="60"/>
            </w:pPr>
            <w:r w:rsidRPr="00345AA8">
              <w:t xml:space="preserve">Please refer to Corrigendum No 1 to Instructions to Tenderers </w:t>
            </w:r>
          </w:p>
          <w:p w:rsidR="00D208B6" w:rsidRPr="00345AA8" w:rsidRDefault="00D208B6" w:rsidP="004B2272">
            <w:pPr>
              <w:spacing w:before="60"/>
            </w:pPr>
          </w:p>
        </w:tc>
      </w:tr>
    </w:tbl>
    <w:p w:rsidR="002143E1" w:rsidRPr="00345AA8" w:rsidRDefault="002143E1" w:rsidP="002143E1">
      <w:pPr>
        <w:pStyle w:val="Clarification"/>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2143E1" w:rsidRPr="00345AA8" w:rsidTr="002143E1">
        <w:trPr>
          <w:jc w:val="center"/>
        </w:trPr>
        <w:tc>
          <w:tcPr>
            <w:tcW w:w="1439" w:type="pct"/>
            <w:shd w:val="clear" w:color="auto" w:fill="E0E0E0"/>
          </w:tcPr>
          <w:p w:rsidR="002143E1" w:rsidRPr="00345AA8" w:rsidRDefault="002143E1" w:rsidP="002143E1">
            <w:pPr>
              <w:spacing w:before="60"/>
            </w:pPr>
            <w:r w:rsidRPr="00345AA8">
              <w:t>Document/Section/Page Reference</w:t>
            </w:r>
          </w:p>
        </w:tc>
        <w:tc>
          <w:tcPr>
            <w:tcW w:w="3561" w:type="pct"/>
          </w:tcPr>
          <w:p w:rsidR="002143E1" w:rsidRPr="00345AA8" w:rsidRDefault="002143E1" w:rsidP="002143E1">
            <w:pPr>
              <w:spacing w:before="60"/>
            </w:pPr>
            <w:r w:rsidRPr="00345AA8">
              <w:t xml:space="preserve">Annex II and III- Technical Specifications CPPNB - Final (2) </w:t>
            </w:r>
            <w:proofErr w:type="spellStart"/>
            <w:r w:rsidRPr="00345AA8">
              <w:t>cj</w:t>
            </w:r>
            <w:proofErr w:type="spellEnd"/>
          </w:p>
        </w:tc>
      </w:tr>
      <w:tr w:rsidR="002143E1" w:rsidRPr="00345AA8" w:rsidTr="002143E1">
        <w:trPr>
          <w:jc w:val="center"/>
        </w:trPr>
        <w:tc>
          <w:tcPr>
            <w:tcW w:w="1439" w:type="pct"/>
            <w:shd w:val="clear" w:color="auto" w:fill="E0E0E0"/>
          </w:tcPr>
          <w:p w:rsidR="002143E1" w:rsidRPr="00345AA8" w:rsidRDefault="002143E1" w:rsidP="002143E1">
            <w:pPr>
              <w:spacing w:before="60"/>
            </w:pPr>
            <w:r w:rsidRPr="00345AA8">
              <w:t>Topic in Document</w:t>
            </w:r>
          </w:p>
        </w:tc>
        <w:tc>
          <w:tcPr>
            <w:tcW w:w="3561" w:type="pct"/>
          </w:tcPr>
          <w:p w:rsidR="002143E1" w:rsidRPr="00345AA8" w:rsidRDefault="002143E1" w:rsidP="002143E1">
            <w:pPr>
              <w:spacing w:before="60"/>
            </w:pPr>
            <w:r w:rsidRPr="00345AA8">
              <w:t>Annex 1</w:t>
            </w:r>
          </w:p>
        </w:tc>
      </w:tr>
      <w:tr w:rsidR="002143E1" w:rsidRPr="00345AA8" w:rsidTr="002143E1">
        <w:trPr>
          <w:trHeight w:val="251"/>
          <w:jc w:val="center"/>
        </w:trPr>
        <w:tc>
          <w:tcPr>
            <w:tcW w:w="1439" w:type="pct"/>
            <w:shd w:val="clear" w:color="auto" w:fill="E0E0E0"/>
          </w:tcPr>
          <w:p w:rsidR="002143E1" w:rsidRPr="00345AA8" w:rsidRDefault="002143E1" w:rsidP="002143E1">
            <w:pPr>
              <w:spacing w:before="60"/>
            </w:pPr>
            <w:r w:rsidRPr="00345AA8">
              <w:t>Passage in Document</w:t>
            </w:r>
          </w:p>
        </w:tc>
        <w:tc>
          <w:tcPr>
            <w:tcW w:w="3561" w:type="pct"/>
          </w:tcPr>
          <w:p w:rsidR="002143E1" w:rsidRPr="00345AA8" w:rsidRDefault="002143E1" w:rsidP="002143E1">
            <w:pPr>
              <w:spacing w:before="60"/>
            </w:pPr>
            <w:r w:rsidRPr="00345AA8">
              <w:t>Annex 1</w:t>
            </w:r>
          </w:p>
        </w:tc>
      </w:tr>
      <w:tr w:rsidR="002143E1" w:rsidRPr="00345AA8" w:rsidTr="002143E1">
        <w:trPr>
          <w:jc w:val="center"/>
        </w:trPr>
        <w:tc>
          <w:tcPr>
            <w:tcW w:w="1439" w:type="pct"/>
            <w:shd w:val="clear" w:color="auto" w:fill="E0E0E0"/>
          </w:tcPr>
          <w:p w:rsidR="002143E1" w:rsidRPr="00345AA8" w:rsidRDefault="002143E1" w:rsidP="002143E1">
            <w:pPr>
              <w:spacing w:before="60"/>
            </w:pPr>
            <w:r w:rsidRPr="00345AA8">
              <w:lastRenderedPageBreak/>
              <w:t>Tenderer’s Question</w:t>
            </w:r>
          </w:p>
        </w:tc>
        <w:tc>
          <w:tcPr>
            <w:tcW w:w="3561" w:type="pct"/>
          </w:tcPr>
          <w:p w:rsidR="002143E1" w:rsidRPr="00345AA8" w:rsidRDefault="002143E1" w:rsidP="002143E1">
            <w:r w:rsidRPr="00345AA8">
              <w:rPr>
                <w:color w:val="282828"/>
              </w:rPr>
              <w:t>Annex 1 of the Technical Specification has missing information from the diagram. It states “Authentication Identification &amp;”. What is missing?</w:t>
            </w:r>
          </w:p>
        </w:tc>
      </w:tr>
      <w:tr w:rsidR="002143E1" w:rsidRPr="00345AA8" w:rsidTr="002143E1">
        <w:trPr>
          <w:jc w:val="center"/>
        </w:trPr>
        <w:tc>
          <w:tcPr>
            <w:tcW w:w="1439" w:type="pct"/>
            <w:shd w:val="clear" w:color="auto" w:fill="E0E0E0"/>
          </w:tcPr>
          <w:p w:rsidR="002143E1" w:rsidRPr="00345AA8" w:rsidRDefault="002143E1" w:rsidP="002143E1">
            <w:pPr>
              <w:spacing w:before="60"/>
            </w:pPr>
            <w:r w:rsidRPr="00345AA8">
              <w:t>Answer</w:t>
            </w:r>
          </w:p>
        </w:tc>
        <w:tc>
          <w:tcPr>
            <w:tcW w:w="3561" w:type="pct"/>
          </w:tcPr>
          <w:p w:rsidR="002143E1" w:rsidRPr="00345AA8" w:rsidRDefault="002143E1" w:rsidP="002143E1">
            <w:pPr>
              <w:spacing w:before="60"/>
              <w:rPr>
                <w:b/>
              </w:rPr>
            </w:pPr>
            <w:r w:rsidRPr="00345AA8">
              <w:rPr>
                <w:b/>
              </w:rPr>
              <w:t>Digital signing</w:t>
            </w:r>
          </w:p>
        </w:tc>
      </w:tr>
    </w:tbl>
    <w:p w:rsidR="002143E1" w:rsidRPr="00345AA8" w:rsidRDefault="002143E1" w:rsidP="002143E1">
      <w:pPr>
        <w:pStyle w:val="Clarification"/>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2143E1" w:rsidRPr="00345AA8" w:rsidTr="002143E1">
        <w:trPr>
          <w:jc w:val="center"/>
        </w:trPr>
        <w:tc>
          <w:tcPr>
            <w:tcW w:w="1439" w:type="pct"/>
            <w:shd w:val="clear" w:color="auto" w:fill="E0E0E0"/>
          </w:tcPr>
          <w:p w:rsidR="002143E1" w:rsidRPr="00345AA8" w:rsidRDefault="002143E1" w:rsidP="002143E1">
            <w:pPr>
              <w:spacing w:before="60"/>
            </w:pPr>
            <w:r w:rsidRPr="00345AA8">
              <w:t>Document/Section/Page Reference</w:t>
            </w:r>
          </w:p>
        </w:tc>
        <w:tc>
          <w:tcPr>
            <w:tcW w:w="3561" w:type="pct"/>
          </w:tcPr>
          <w:p w:rsidR="002143E1" w:rsidRPr="00345AA8" w:rsidRDefault="002143E1" w:rsidP="002143E1">
            <w:pPr>
              <w:spacing w:before="60"/>
            </w:pPr>
            <w:r w:rsidRPr="00345AA8">
              <w:t xml:space="preserve">Annex II and III- Technical Specifications CPPNB - Final (2) </w:t>
            </w:r>
            <w:proofErr w:type="spellStart"/>
            <w:r w:rsidRPr="00345AA8">
              <w:t>cj</w:t>
            </w:r>
            <w:proofErr w:type="spellEnd"/>
          </w:p>
        </w:tc>
      </w:tr>
      <w:tr w:rsidR="002143E1" w:rsidRPr="00345AA8" w:rsidTr="002143E1">
        <w:trPr>
          <w:jc w:val="center"/>
        </w:trPr>
        <w:tc>
          <w:tcPr>
            <w:tcW w:w="1439" w:type="pct"/>
            <w:shd w:val="clear" w:color="auto" w:fill="E0E0E0"/>
          </w:tcPr>
          <w:p w:rsidR="002143E1" w:rsidRPr="00345AA8" w:rsidRDefault="002143E1" w:rsidP="002143E1">
            <w:pPr>
              <w:spacing w:before="60"/>
            </w:pPr>
            <w:r w:rsidRPr="00345AA8">
              <w:t>Topic in Document</w:t>
            </w:r>
          </w:p>
        </w:tc>
        <w:tc>
          <w:tcPr>
            <w:tcW w:w="3561" w:type="pct"/>
          </w:tcPr>
          <w:p w:rsidR="002143E1" w:rsidRPr="00345AA8" w:rsidRDefault="009F3498" w:rsidP="002143E1">
            <w:pPr>
              <w:spacing w:before="60"/>
            </w:pPr>
            <w:r w:rsidRPr="00345AA8">
              <w:t>System support</w:t>
            </w:r>
          </w:p>
        </w:tc>
      </w:tr>
      <w:tr w:rsidR="002143E1" w:rsidRPr="00345AA8" w:rsidTr="002143E1">
        <w:trPr>
          <w:trHeight w:val="251"/>
          <w:jc w:val="center"/>
        </w:trPr>
        <w:tc>
          <w:tcPr>
            <w:tcW w:w="1439" w:type="pct"/>
            <w:shd w:val="clear" w:color="auto" w:fill="E0E0E0"/>
          </w:tcPr>
          <w:p w:rsidR="002143E1" w:rsidRPr="00345AA8" w:rsidRDefault="002143E1" w:rsidP="002143E1">
            <w:pPr>
              <w:spacing w:before="60"/>
            </w:pPr>
            <w:r w:rsidRPr="00345AA8">
              <w:t>Passage in Document</w:t>
            </w:r>
          </w:p>
        </w:tc>
        <w:tc>
          <w:tcPr>
            <w:tcW w:w="3561" w:type="pct"/>
          </w:tcPr>
          <w:p w:rsidR="002143E1" w:rsidRPr="00345AA8" w:rsidRDefault="002143E1" w:rsidP="002143E1">
            <w:pPr>
              <w:spacing w:before="60"/>
            </w:pPr>
            <w:r w:rsidRPr="00345AA8">
              <w:t>n/a</w:t>
            </w:r>
          </w:p>
        </w:tc>
      </w:tr>
      <w:tr w:rsidR="002143E1" w:rsidRPr="00345AA8" w:rsidTr="002143E1">
        <w:trPr>
          <w:jc w:val="center"/>
        </w:trPr>
        <w:tc>
          <w:tcPr>
            <w:tcW w:w="1439" w:type="pct"/>
            <w:shd w:val="clear" w:color="auto" w:fill="E0E0E0"/>
          </w:tcPr>
          <w:p w:rsidR="002143E1" w:rsidRPr="00345AA8" w:rsidRDefault="002143E1" w:rsidP="002143E1">
            <w:pPr>
              <w:spacing w:before="60"/>
            </w:pPr>
            <w:r w:rsidRPr="00345AA8">
              <w:t>Tenderer’s Question</w:t>
            </w:r>
          </w:p>
        </w:tc>
        <w:tc>
          <w:tcPr>
            <w:tcW w:w="3561" w:type="pct"/>
          </w:tcPr>
          <w:p w:rsidR="002143E1" w:rsidRPr="00345AA8" w:rsidRDefault="009F3498" w:rsidP="002143E1">
            <w:pPr>
              <w:spacing w:before="60"/>
            </w:pPr>
            <w:r w:rsidRPr="00345AA8">
              <w:rPr>
                <w:color w:val="282828"/>
              </w:rPr>
              <w:t>What time zone should be considered for end user system support?</w:t>
            </w:r>
          </w:p>
        </w:tc>
      </w:tr>
      <w:tr w:rsidR="002143E1" w:rsidRPr="00345AA8" w:rsidTr="002143E1">
        <w:trPr>
          <w:jc w:val="center"/>
        </w:trPr>
        <w:tc>
          <w:tcPr>
            <w:tcW w:w="1439" w:type="pct"/>
            <w:shd w:val="clear" w:color="auto" w:fill="E0E0E0"/>
          </w:tcPr>
          <w:p w:rsidR="002143E1" w:rsidRPr="00345AA8" w:rsidRDefault="002143E1" w:rsidP="002143E1">
            <w:pPr>
              <w:spacing w:before="60"/>
              <w:rPr>
                <w:highlight w:val="red"/>
              </w:rPr>
            </w:pPr>
            <w:r w:rsidRPr="00345AA8">
              <w:t>Answer</w:t>
            </w:r>
          </w:p>
        </w:tc>
        <w:tc>
          <w:tcPr>
            <w:tcW w:w="3561" w:type="pct"/>
          </w:tcPr>
          <w:p w:rsidR="002143E1" w:rsidRPr="00345AA8" w:rsidRDefault="000E5066" w:rsidP="002143E1">
            <w:pPr>
              <w:spacing w:before="60"/>
              <w:rPr>
                <w:highlight w:val="red"/>
              </w:rPr>
            </w:pPr>
            <w:r w:rsidRPr="00345AA8">
              <w:t>G</w:t>
            </w:r>
            <w:r w:rsidR="00041F61" w:rsidRPr="00345AA8">
              <w:t>M</w:t>
            </w:r>
            <w:r w:rsidRPr="00345AA8">
              <w:t>T - 4</w:t>
            </w:r>
          </w:p>
        </w:tc>
      </w:tr>
    </w:tbl>
    <w:p w:rsidR="002143E1" w:rsidRPr="00345AA8" w:rsidRDefault="002143E1" w:rsidP="002143E1">
      <w:pPr>
        <w:pStyle w:val="Clarification"/>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2143E1" w:rsidRPr="00345AA8" w:rsidTr="002143E1">
        <w:trPr>
          <w:jc w:val="center"/>
        </w:trPr>
        <w:tc>
          <w:tcPr>
            <w:tcW w:w="1439" w:type="pct"/>
            <w:shd w:val="clear" w:color="auto" w:fill="E0E0E0"/>
          </w:tcPr>
          <w:p w:rsidR="002143E1" w:rsidRPr="00345AA8" w:rsidRDefault="002143E1" w:rsidP="002143E1">
            <w:pPr>
              <w:spacing w:before="60"/>
            </w:pPr>
            <w:r w:rsidRPr="00345AA8">
              <w:t>Document/Section/Page Reference</w:t>
            </w:r>
          </w:p>
        </w:tc>
        <w:tc>
          <w:tcPr>
            <w:tcW w:w="3561" w:type="pct"/>
          </w:tcPr>
          <w:p w:rsidR="002143E1" w:rsidRPr="00345AA8" w:rsidRDefault="002143E1" w:rsidP="002143E1">
            <w:pPr>
              <w:spacing w:before="60"/>
            </w:pPr>
            <w:r w:rsidRPr="00345AA8">
              <w:t xml:space="preserve">Annex II and III- Technical Specifications CPPNB - Final (2) </w:t>
            </w:r>
            <w:proofErr w:type="spellStart"/>
            <w:r w:rsidRPr="00345AA8">
              <w:t>cj</w:t>
            </w:r>
            <w:proofErr w:type="spellEnd"/>
          </w:p>
        </w:tc>
      </w:tr>
      <w:tr w:rsidR="002143E1" w:rsidRPr="00345AA8" w:rsidTr="002143E1">
        <w:trPr>
          <w:jc w:val="center"/>
        </w:trPr>
        <w:tc>
          <w:tcPr>
            <w:tcW w:w="1439" w:type="pct"/>
            <w:shd w:val="clear" w:color="auto" w:fill="E0E0E0"/>
          </w:tcPr>
          <w:p w:rsidR="002143E1" w:rsidRPr="00345AA8" w:rsidRDefault="002143E1" w:rsidP="002143E1">
            <w:pPr>
              <w:spacing w:before="60"/>
            </w:pPr>
            <w:r w:rsidRPr="00345AA8">
              <w:t>Topic in Document</w:t>
            </w:r>
          </w:p>
        </w:tc>
        <w:tc>
          <w:tcPr>
            <w:tcW w:w="3561" w:type="pct"/>
          </w:tcPr>
          <w:p w:rsidR="002143E1" w:rsidRPr="00345AA8" w:rsidRDefault="00E60D2C" w:rsidP="002143E1">
            <w:pPr>
              <w:spacing w:before="60"/>
            </w:pPr>
            <w:r w:rsidRPr="00345AA8">
              <w:t>Lots division</w:t>
            </w:r>
          </w:p>
        </w:tc>
      </w:tr>
      <w:tr w:rsidR="002143E1" w:rsidRPr="00345AA8" w:rsidTr="002143E1">
        <w:trPr>
          <w:trHeight w:val="251"/>
          <w:jc w:val="center"/>
        </w:trPr>
        <w:tc>
          <w:tcPr>
            <w:tcW w:w="1439" w:type="pct"/>
            <w:shd w:val="clear" w:color="auto" w:fill="E0E0E0"/>
          </w:tcPr>
          <w:p w:rsidR="002143E1" w:rsidRPr="00345AA8" w:rsidRDefault="002143E1" w:rsidP="002143E1">
            <w:pPr>
              <w:spacing w:before="60"/>
            </w:pPr>
            <w:r w:rsidRPr="00345AA8">
              <w:t>Passage in Document</w:t>
            </w:r>
          </w:p>
        </w:tc>
        <w:tc>
          <w:tcPr>
            <w:tcW w:w="3561" w:type="pct"/>
          </w:tcPr>
          <w:p w:rsidR="002143E1" w:rsidRPr="00345AA8" w:rsidRDefault="002143E1" w:rsidP="002143E1">
            <w:pPr>
              <w:spacing w:before="60"/>
            </w:pPr>
            <w:r w:rsidRPr="00345AA8">
              <w:t>n/a</w:t>
            </w:r>
          </w:p>
        </w:tc>
      </w:tr>
      <w:tr w:rsidR="002143E1" w:rsidRPr="00345AA8" w:rsidTr="002143E1">
        <w:trPr>
          <w:jc w:val="center"/>
        </w:trPr>
        <w:tc>
          <w:tcPr>
            <w:tcW w:w="1439" w:type="pct"/>
            <w:shd w:val="clear" w:color="auto" w:fill="E0E0E0"/>
          </w:tcPr>
          <w:p w:rsidR="002143E1" w:rsidRPr="00345AA8" w:rsidRDefault="002143E1" w:rsidP="002143E1">
            <w:pPr>
              <w:spacing w:before="60"/>
            </w:pPr>
            <w:r w:rsidRPr="00345AA8">
              <w:t>Tenderer’s Question</w:t>
            </w:r>
          </w:p>
        </w:tc>
        <w:tc>
          <w:tcPr>
            <w:tcW w:w="3561" w:type="pct"/>
          </w:tcPr>
          <w:p w:rsidR="002143E1" w:rsidRPr="00345AA8" w:rsidRDefault="009F3498" w:rsidP="009F3498">
            <w:pPr>
              <w:spacing w:before="60"/>
            </w:pPr>
            <w:r w:rsidRPr="00345AA8">
              <w:t>The lots have a mix of both software and hardware. Why have the lots not been divided by hardware and software?</w:t>
            </w:r>
          </w:p>
        </w:tc>
      </w:tr>
      <w:tr w:rsidR="002143E1" w:rsidRPr="00345AA8" w:rsidTr="002143E1">
        <w:trPr>
          <w:jc w:val="center"/>
        </w:trPr>
        <w:tc>
          <w:tcPr>
            <w:tcW w:w="1439" w:type="pct"/>
            <w:shd w:val="clear" w:color="auto" w:fill="E0E0E0"/>
          </w:tcPr>
          <w:p w:rsidR="002143E1" w:rsidRPr="00345AA8" w:rsidRDefault="002143E1" w:rsidP="002143E1">
            <w:pPr>
              <w:spacing w:before="60"/>
            </w:pPr>
            <w:r w:rsidRPr="00345AA8">
              <w:t>Answer</w:t>
            </w:r>
          </w:p>
        </w:tc>
        <w:tc>
          <w:tcPr>
            <w:tcW w:w="3561" w:type="pct"/>
          </w:tcPr>
          <w:p w:rsidR="002143E1" w:rsidRPr="00345AA8" w:rsidRDefault="009F3498" w:rsidP="000E5066">
            <w:pPr>
              <w:spacing w:before="60"/>
            </w:pPr>
            <w:r w:rsidRPr="00345AA8">
              <w:t>The lot</w:t>
            </w:r>
            <w:r w:rsidR="00E60D2C" w:rsidRPr="00345AA8">
              <w:t>s</w:t>
            </w:r>
            <w:r w:rsidRPr="00345AA8">
              <w:t xml:space="preserve"> have been divided by the</w:t>
            </w:r>
            <w:r w:rsidR="00E60D2C" w:rsidRPr="00345AA8">
              <w:t xml:space="preserve"> substance</w:t>
            </w:r>
            <w:r w:rsidR="000E5066" w:rsidRPr="00345AA8">
              <w:t xml:space="preserve"> and by the principle</w:t>
            </w:r>
            <w:r w:rsidR="002C495E" w:rsidRPr="00345AA8">
              <w:t xml:space="preserve"> of turnkey.</w:t>
            </w:r>
          </w:p>
        </w:tc>
      </w:tr>
    </w:tbl>
    <w:p w:rsidR="002143E1" w:rsidRPr="00345AA8" w:rsidRDefault="002143E1" w:rsidP="002143E1">
      <w:pPr>
        <w:pStyle w:val="Clarification"/>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2143E1" w:rsidRPr="00345AA8" w:rsidTr="002143E1">
        <w:trPr>
          <w:jc w:val="center"/>
        </w:trPr>
        <w:tc>
          <w:tcPr>
            <w:tcW w:w="1439" w:type="pct"/>
            <w:shd w:val="clear" w:color="auto" w:fill="E0E0E0"/>
          </w:tcPr>
          <w:p w:rsidR="002143E1" w:rsidRPr="00345AA8" w:rsidRDefault="002143E1" w:rsidP="002143E1">
            <w:pPr>
              <w:spacing w:before="60"/>
            </w:pPr>
            <w:r w:rsidRPr="00345AA8">
              <w:t>Document/Section/Page Reference</w:t>
            </w:r>
          </w:p>
        </w:tc>
        <w:tc>
          <w:tcPr>
            <w:tcW w:w="3561" w:type="pct"/>
          </w:tcPr>
          <w:p w:rsidR="002143E1" w:rsidRPr="00345AA8" w:rsidRDefault="002143E1" w:rsidP="002143E1">
            <w:pPr>
              <w:spacing w:before="60"/>
            </w:pPr>
            <w:r w:rsidRPr="00345AA8">
              <w:t xml:space="preserve">Annex II and III- Technical Specifications CPPNB - Final (2) </w:t>
            </w:r>
            <w:proofErr w:type="spellStart"/>
            <w:r w:rsidRPr="00345AA8">
              <w:t>cj</w:t>
            </w:r>
            <w:proofErr w:type="spellEnd"/>
          </w:p>
        </w:tc>
      </w:tr>
      <w:tr w:rsidR="002143E1" w:rsidRPr="00345AA8" w:rsidTr="002143E1">
        <w:trPr>
          <w:jc w:val="center"/>
        </w:trPr>
        <w:tc>
          <w:tcPr>
            <w:tcW w:w="1439" w:type="pct"/>
            <w:shd w:val="clear" w:color="auto" w:fill="E0E0E0"/>
          </w:tcPr>
          <w:p w:rsidR="002143E1" w:rsidRPr="00345AA8" w:rsidRDefault="002143E1" w:rsidP="002143E1">
            <w:pPr>
              <w:spacing w:before="60"/>
            </w:pPr>
            <w:r w:rsidRPr="00345AA8">
              <w:t>Topic in Document</w:t>
            </w:r>
          </w:p>
        </w:tc>
        <w:tc>
          <w:tcPr>
            <w:tcW w:w="3561" w:type="pct"/>
          </w:tcPr>
          <w:p w:rsidR="002143E1" w:rsidRPr="00345AA8" w:rsidRDefault="001D5FD4" w:rsidP="002143E1">
            <w:pPr>
              <w:spacing w:before="60"/>
            </w:pPr>
            <w:r w:rsidRPr="00345AA8">
              <w:t>PKI</w:t>
            </w:r>
          </w:p>
        </w:tc>
      </w:tr>
      <w:tr w:rsidR="002143E1" w:rsidRPr="00345AA8" w:rsidTr="002143E1">
        <w:trPr>
          <w:trHeight w:val="251"/>
          <w:jc w:val="center"/>
        </w:trPr>
        <w:tc>
          <w:tcPr>
            <w:tcW w:w="1439" w:type="pct"/>
            <w:shd w:val="clear" w:color="auto" w:fill="E0E0E0"/>
          </w:tcPr>
          <w:p w:rsidR="002143E1" w:rsidRPr="00345AA8" w:rsidRDefault="002143E1" w:rsidP="002143E1">
            <w:pPr>
              <w:spacing w:before="60"/>
            </w:pPr>
            <w:r w:rsidRPr="00345AA8">
              <w:t>Passage in Document</w:t>
            </w:r>
          </w:p>
        </w:tc>
        <w:tc>
          <w:tcPr>
            <w:tcW w:w="3561" w:type="pct"/>
          </w:tcPr>
          <w:p w:rsidR="002143E1" w:rsidRPr="00345AA8" w:rsidRDefault="001D5FD4" w:rsidP="002143E1">
            <w:pPr>
              <w:spacing w:before="60"/>
            </w:pPr>
            <w:r w:rsidRPr="00345AA8">
              <w:t>Item 1.19 CPPNB, page 25/26</w:t>
            </w:r>
          </w:p>
        </w:tc>
      </w:tr>
      <w:tr w:rsidR="002143E1" w:rsidRPr="00345AA8" w:rsidTr="002143E1">
        <w:trPr>
          <w:jc w:val="center"/>
        </w:trPr>
        <w:tc>
          <w:tcPr>
            <w:tcW w:w="1439" w:type="pct"/>
            <w:shd w:val="clear" w:color="auto" w:fill="E0E0E0"/>
          </w:tcPr>
          <w:p w:rsidR="002143E1" w:rsidRPr="00345AA8" w:rsidRDefault="002143E1" w:rsidP="002143E1">
            <w:pPr>
              <w:spacing w:before="60"/>
            </w:pPr>
            <w:r w:rsidRPr="00345AA8">
              <w:t>Tenderer’s Question</w:t>
            </w:r>
          </w:p>
        </w:tc>
        <w:tc>
          <w:tcPr>
            <w:tcW w:w="3561" w:type="pct"/>
          </w:tcPr>
          <w:p w:rsidR="002143E1" w:rsidRPr="00345AA8" w:rsidRDefault="00E60D2C" w:rsidP="002143E1">
            <w:pPr>
              <w:spacing w:before="60"/>
            </w:pPr>
            <w:r w:rsidRPr="00345AA8">
              <w:t>We understand that there is a requirement for PKI on both the buyer and supplier side. Can you please confirm the business requirement that this conforms with?</w:t>
            </w:r>
          </w:p>
        </w:tc>
      </w:tr>
      <w:tr w:rsidR="002143E1" w:rsidRPr="00345AA8" w:rsidTr="002143E1">
        <w:trPr>
          <w:jc w:val="center"/>
        </w:trPr>
        <w:tc>
          <w:tcPr>
            <w:tcW w:w="1439" w:type="pct"/>
            <w:shd w:val="clear" w:color="auto" w:fill="E0E0E0"/>
          </w:tcPr>
          <w:p w:rsidR="002143E1" w:rsidRPr="00345AA8" w:rsidRDefault="002143E1" w:rsidP="002143E1">
            <w:pPr>
              <w:spacing w:before="60"/>
            </w:pPr>
            <w:r w:rsidRPr="00345AA8">
              <w:t>Answer</w:t>
            </w:r>
          </w:p>
        </w:tc>
        <w:tc>
          <w:tcPr>
            <w:tcW w:w="3561" w:type="pct"/>
          </w:tcPr>
          <w:p w:rsidR="002143E1" w:rsidRPr="00345AA8" w:rsidRDefault="001D5FD4" w:rsidP="001D5FD4">
            <w:pPr>
              <w:spacing w:before="60"/>
            </w:pPr>
            <w:r w:rsidRPr="00345AA8">
              <w:t>PKI should facilitate the secure electronic transfer of information. Details have been specified under 1.19 CPPNB.</w:t>
            </w:r>
          </w:p>
        </w:tc>
      </w:tr>
    </w:tbl>
    <w:p w:rsidR="002143E1" w:rsidRPr="00345AA8" w:rsidRDefault="002143E1" w:rsidP="002143E1">
      <w:pPr>
        <w:pStyle w:val="Clarification"/>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2143E1" w:rsidRPr="00345AA8" w:rsidTr="002143E1">
        <w:trPr>
          <w:jc w:val="center"/>
        </w:trPr>
        <w:tc>
          <w:tcPr>
            <w:tcW w:w="1439" w:type="pct"/>
            <w:shd w:val="clear" w:color="auto" w:fill="E0E0E0"/>
          </w:tcPr>
          <w:p w:rsidR="002143E1" w:rsidRPr="00345AA8" w:rsidRDefault="002143E1" w:rsidP="002143E1">
            <w:pPr>
              <w:spacing w:before="60"/>
            </w:pPr>
            <w:r w:rsidRPr="00345AA8">
              <w:t>Document/Section/Page Reference</w:t>
            </w:r>
          </w:p>
        </w:tc>
        <w:tc>
          <w:tcPr>
            <w:tcW w:w="3561" w:type="pct"/>
          </w:tcPr>
          <w:p w:rsidR="002143E1" w:rsidRPr="00345AA8" w:rsidRDefault="002143E1" w:rsidP="002143E1">
            <w:pPr>
              <w:spacing w:before="60"/>
            </w:pPr>
            <w:r w:rsidRPr="00345AA8">
              <w:t xml:space="preserve">Annex II and III- Technical Specifications CPPNB - Final (2) </w:t>
            </w:r>
            <w:proofErr w:type="spellStart"/>
            <w:r w:rsidRPr="00345AA8">
              <w:t>cj</w:t>
            </w:r>
            <w:proofErr w:type="spellEnd"/>
          </w:p>
        </w:tc>
      </w:tr>
      <w:tr w:rsidR="002143E1" w:rsidRPr="00345AA8" w:rsidTr="002143E1">
        <w:trPr>
          <w:jc w:val="center"/>
        </w:trPr>
        <w:tc>
          <w:tcPr>
            <w:tcW w:w="1439" w:type="pct"/>
            <w:shd w:val="clear" w:color="auto" w:fill="E0E0E0"/>
          </w:tcPr>
          <w:p w:rsidR="002143E1" w:rsidRPr="00345AA8" w:rsidRDefault="002143E1" w:rsidP="002143E1">
            <w:pPr>
              <w:spacing w:before="60"/>
            </w:pPr>
            <w:r w:rsidRPr="00345AA8">
              <w:t>Topic in Document</w:t>
            </w:r>
          </w:p>
        </w:tc>
        <w:tc>
          <w:tcPr>
            <w:tcW w:w="3561" w:type="pct"/>
          </w:tcPr>
          <w:p w:rsidR="002143E1" w:rsidRPr="00345AA8" w:rsidRDefault="00A076D8" w:rsidP="002143E1">
            <w:pPr>
              <w:spacing w:before="60"/>
            </w:pPr>
            <w:r w:rsidRPr="00345AA8">
              <w:t>Open source</w:t>
            </w:r>
          </w:p>
        </w:tc>
      </w:tr>
      <w:tr w:rsidR="002143E1" w:rsidRPr="00345AA8" w:rsidTr="002143E1">
        <w:trPr>
          <w:trHeight w:val="251"/>
          <w:jc w:val="center"/>
        </w:trPr>
        <w:tc>
          <w:tcPr>
            <w:tcW w:w="1439" w:type="pct"/>
            <w:shd w:val="clear" w:color="auto" w:fill="E0E0E0"/>
          </w:tcPr>
          <w:p w:rsidR="002143E1" w:rsidRPr="00345AA8" w:rsidRDefault="002143E1" w:rsidP="002143E1">
            <w:pPr>
              <w:spacing w:before="60"/>
            </w:pPr>
            <w:r w:rsidRPr="00345AA8">
              <w:t>Passage in Document</w:t>
            </w:r>
          </w:p>
        </w:tc>
        <w:tc>
          <w:tcPr>
            <w:tcW w:w="3561" w:type="pct"/>
          </w:tcPr>
          <w:p w:rsidR="002143E1" w:rsidRPr="00345AA8" w:rsidRDefault="002143E1" w:rsidP="002143E1">
            <w:pPr>
              <w:spacing w:before="60"/>
            </w:pPr>
            <w:r w:rsidRPr="00345AA8">
              <w:t>n/a</w:t>
            </w:r>
          </w:p>
        </w:tc>
      </w:tr>
      <w:tr w:rsidR="002143E1" w:rsidRPr="00345AA8" w:rsidTr="002143E1">
        <w:trPr>
          <w:jc w:val="center"/>
        </w:trPr>
        <w:tc>
          <w:tcPr>
            <w:tcW w:w="1439" w:type="pct"/>
            <w:shd w:val="clear" w:color="auto" w:fill="E0E0E0"/>
          </w:tcPr>
          <w:p w:rsidR="002143E1" w:rsidRPr="00345AA8" w:rsidRDefault="002143E1" w:rsidP="002143E1">
            <w:pPr>
              <w:spacing w:before="60"/>
            </w:pPr>
            <w:r w:rsidRPr="00345AA8">
              <w:t>Tenderer’s Question</w:t>
            </w:r>
          </w:p>
        </w:tc>
        <w:tc>
          <w:tcPr>
            <w:tcW w:w="3561" w:type="pct"/>
          </w:tcPr>
          <w:p w:rsidR="002143E1" w:rsidRPr="00345AA8" w:rsidRDefault="00A076D8" w:rsidP="00A076D8">
            <w:pPr>
              <w:spacing w:before="60"/>
            </w:pPr>
            <w:r w:rsidRPr="00345AA8">
              <w:t>Would you consider open source solutions?</w:t>
            </w:r>
          </w:p>
        </w:tc>
      </w:tr>
      <w:tr w:rsidR="002143E1" w:rsidRPr="00345AA8" w:rsidTr="002143E1">
        <w:trPr>
          <w:jc w:val="center"/>
        </w:trPr>
        <w:tc>
          <w:tcPr>
            <w:tcW w:w="1439" w:type="pct"/>
            <w:shd w:val="clear" w:color="auto" w:fill="E0E0E0"/>
          </w:tcPr>
          <w:p w:rsidR="002143E1" w:rsidRPr="00345AA8" w:rsidRDefault="002143E1" w:rsidP="002143E1">
            <w:pPr>
              <w:spacing w:before="60"/>
            </w:pPr>
            <w:r w:rsidRPr="00345AA8">
              <w:t>Answer</w:t>
            </w:r>
          </w:p>
        </w:tc>
        <w:tc>
          <w:tcPr>
            <w:tcW w:w="3561" w:type="pct"/>
          </w:tcPr>
          <w:p w:rsidR="002143E1" w:rsidRPr="00345AA8" w:rsidRDefault="00A076D8" w:rsidP="002143E1">
            <w:pPr>
              <w:spacing w:before="60"/>
            </w:pPr>
            <w:r w:rsidRPr="00345AA8">
              <w:t>Yes</w:t>
            </w:r>
          </w:p>
        </w:tc>
      </w:tr>
    </w:tbl>
    <w:p w:rsidR="002143E1" w:rsidRPr="00345AA8" w:rsidRDefault="002143E1" w:rsidP="002143E1">
      <w:pPr>
        <w:pStyle w:val="Clarification"/>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2143E1" w:rsidRPr="00345AA8" w:rsidTr="002143E1">
        <w:trPr>
          <w:jc w:val="center"/>
        </w:trPr>
        <w:tc>
          <w:tcPr>
            <w:tcW w:w="1439" w:type="pct"/>
            <w:shd w:val="clear" w:color="auto" w:fill="E0E0E0"/>
          </w:tcPr>
          <w:p w:rsidR="002143E1" w:rsidRPr="00345AA8" w:rsidRDefault="002143E1" w:rsidP="002143E1">
            <w:pPr>
              <w:spacing w:before="60"/>
            </w:pPr>
            <w:r w:rsidRPr="00345AA8">
              <w:t>Document/Section/Page Reference</w:t>
            </w:r>
          </w:p>
        </w:tc>
        <w:tc>
          <w:tcPr>
            <w:tcW w:w="3561" w:type="pct"/>
          </w:tcPr>
          <w:p w:rsidR="002143E1" w:rsidRPr="00345AA8" w:rsidRDefault="002143E1" w:rsidP="002143E1">
            <w:pPr>
              <w:spacing w:before="60"/>
            </w:pPr>
            <w:r w:rsidRPr="00345AA8">
              <w:t xml:space="preserve">Annex II and III- Technical Specifications CPPNB - Final (2) </w:t>
            </w:r>
            <w:proofErr w:type="spellStart"/>
            <w:r w:rsidRPr="00345AA8">
              <w:t>cj</w:t>
            </w:r>
            <w:proofErr w:type="spellEnd"/>
          </w:p>
        </w:tc>
      </w:tr>
      <w:tr w:rsidR="002143E1" w:rsidRPr="00345AA8" w:rsidTr="002143E1">
        <w:trPr>
          <w:jc w:val="center"/>
        </w:trPr>
        <w:tc>
          <w:tcPr>
            <w:tcW w:w="1439" w:type="pct"/>
            <w:shd w:val="clear" w:color="auto" w:fill="E0E0E0"/>
          </w:tcPr>
          <w:p w:rsidR="002143E1" w:rsidRPr="00345AA8" w:rsidRDefault="002143E1" w:rsidP="002143E1">
            <w:pPr>
              <w:spacing w:before="60"/>
            </w:pPr>
            <w:r w:rsidRPr="00345AA8">
              <w:lastRenderedPageBreak/>
              <w:t>Topic in Document</w:t>
            </w:r>
          </w:p>
        </w:tc>
        <w:tc>
          <w:tcPr>
            <w:tcW w:w="3561" w:type="pct"/>
          </w:tcPr>
          <w:p w:rsidR="002143E1" w:rsidRPr="00345AA8" w:rsidRDefault="00A076D8" w:rsidP="002143E1">
            <w:pPr>
              <w:spacing w:before="60"/>
            </w:pPr>
            <w:r w:rsidRPr="00345AA8">
              <w:t>CPPNB, eLearning</w:t>
            </w:r>
          </w:p>
        </w:tc>
      </w:tr>
      <w:tr w:rsidR="002143E1" w:rsidRPr="00345AA8" w:rsidTr="002143E1">
        <w:trPr>
          <w:trHeight w:val="251"/>
          <w:jc w:val="center"/>
        </w:trPr>
        <w:tc>
          <w:tcPr>
            <w:tcW w:w="1439" w:type="pct"/>
            <w:shd w:val="clear" w:color="auto" w:fill="E0E0E0"/>
          </w:tcPr>
          <w:p w:rsidR="002143E1" w:rsidRPr="00345AA8" w:rsidRDefault="002143E1" w:rsidP="002143E1">
            <w:pPr>
              <w:spacing w:before="60"/>
            </w:pPr>
            <w:r w:rsidRPr="00345AA8">
              <w:t>Passage in Document</w:t>
            </w:r>
          </w:p>
        </w:tc>
        <w:tc>
          <w:tcPr>
            <w:tcW w:w="3561" w:type="pct"/>
          </w:tcPr>
          <w:p w:rsidR="002143E1" w:rsidRPr="00345AA8" w:rsidRDefault="002143E1" w:rsidP="002143E1">
            <w:pPr>
              <w:spacing w:before="60"/>
            </w:pPr>
            <w:r w:rsidRPr="00345AA8">
              <w:t>n/a</w:t>
            </w:r>
          </w:p>
        </w:tc>
      </w:tr>
      <w:tr w:rsidR="002143E1" w:rsidRPr="00345AA8" w:rsidTr="002143E1">
        <w:trPr>
          <w:jc w:val="center"/>
        </w:trPr>
        <w:tc>
          <w:tcPr>
            <w:tcW w:w="1439" w:type="pct"/>
            <w:shd w:val="clear" w:color="auto" w:fill="E0E0E0"/>
          </w:tcPr>
          <w:p w:rsidR="002143E1" w:rsidRPr="00345AA8" w:rsidRDefault="002143E1" w:rsidP="002143E1">
            <w:pPr>
              <w:spacing w:before="60"/>
            </w:pPr>
            <w:r w:rsidRPr="00345AA8">
              <w:t>Tenderer’s Question</w:t>
            </w:r>
          </w:p>
        </w:tc>
        <w:tc>
          <w:tcPr>
            <w:tcW w:w="3561" w:type="pct"/>
          </w:tcPr>
          <w:p w:rsidR="002143E1" w:rsidRPr="00345AA8" w:rsidRDefault="00A076D8" w:rsidP="002143E1">
            <w:pPr>
              <w:spacing w:before="60"/>
            </w:pPr>
            <w:r w:rsidRPr="00345AA8">
              <w:t>Are CPPNB and eLearning existing system or already identified?</w:t>
            </w:r>
          </w:p>
        </w:tc>
      </w:tr>
      <w:tr w:rsidR="002143E1" w:rsidRPr="00345AA8" w:rsidTr="002143E1">
        <w:trPr>
          <w:jc w:val="center"/>
        </w:trPr>
        <w:tc>
          <w:tcPr>
            <w:tcW w:w="1439" w:type="pct"/>
            <w:shd w:val="clear" w:color="auto" w:fill="E0E0E0"/>
          </w:tcPr>
          <w:p w:rsidR="002143E1" w:rsidRPr="00345AA8" w:rsidRDefault="002143E1" w:rsidP="002143E1">
            <w:pPr>
              <w:spacing w:before="60"/>
            </w:pPr>
            <w:r w:rsidRPr="00345AA8">
              <w:t>Answer</w:t>
            </w:r>
          </w:p>
        </w:tc>
        <w:tc>
          <w:tcPr>
            <w:tcW w:w="3561" w:type="pct"/>
          </w:tcPr>
          <w:p w:rsidR="002143E1" w:rsidRPr="00345AA8" w:rsidRDefault="002143E1" w:rsidP="002143E1">
            <w:pPr>
              <w:spacing w:before="60"/>
            </w:pPr>
            <w:r w:rsidRPr="00345AA8">
              <w:t>No</w:t>
            </w:r>
          </w:p>
        </w:tc>
      </w:tr>
    </w:tbl>
    <w:p w:rsidR="00A076D8" w:rsidRPr="00345AA8" w:rsidRDefault="00A076D8" w:rsidP="00A076D8">
      <w:pPr>
        <w:pStyle w:val="Clarification"/>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A076D8" w:rsidRPr="00345AA8" w:rsidTr="00A076D8">
        <w:trPr>
          <w:jc w:val="center"/>
        </w:trPr>
        <w:tc>
          <w:tcPr>
            <w:tcW w:w="1439" w:type="pct"/>
            <w:shd w:val="clear" w:color="auto" w:fill="E0E0E0"/>
          </w:tcPr>
          <w:p w:rsidR="00A076D8" w:rsidRPr="00345AA8" w:rsidRDefault="00A076D8" w:rsidP="00A076D8">
            <w:pPr>
              <w:spacing w:before="60"/>
            </w:pPr>
            <w:r w:rsidRPr="00345AA8">
              <w:t>Document/Section/Page Reference</w:t>
            </w:r>
          </w:p>
        </w:tc>
        <w:tc>
          <w:tcPr>
            <w:tcW w:w="3561" w:type="pct"/>
          </w:tcPr>
          <w:p w:rsidR="00A076D8" w:rsidRPr="00345AA8" w:rsidRDefault="00A076D8" w:rsidP="00A076D8">
            <w:pPr>
              <w:spacing w:before="60"/>
            </w:pPr>
            <w:r w:rsidRPr="00345AA8">
              <w:t xml:space="preserve">Annex II and III- Technical Specifications CPPNB - Final (2) </w:t>
            </w:r>
            <w:proofErr w:type="spellStart"/>
            <w:r w:rsidRPr="00345AA8">
              <w:t>cj</w:t>
            </w:r>
            <w:proofErr w:type="spellEnd"/>
          </w:p>
        </w:tc>
      </w:tr>
      <w:tr w:rsidR="00A076D8" w:rsidRPr="00345AA8" w:rsidTr="00A076D8">
        <w:trPr>
          <w:jc w:val="center"/>
        </w:trPr>
        <w:tc>
          <w:tcPr>
            <w:tcW w:w="1439" w:type="pct"/>
            <w:shd w:val="clear" w:color="auto" w:fill="E0E0E0"/>
          </w:tcPr>
          <w:p w:rsidR="00A076D8" w:rsidRPr="00345AA8" w:rsidRDefault="00A076D8" w:rsidP="00A076D8">
            <w:pPr>
              <w:spacing w:before="60"/>
            </w:pPr>
            <w:r w:rsidRPr="00345AA8">
              <w:t>Topic in Document</w:t>
            </w:r>
          </w:p>
        </w:tc>
        <w:tc>
          <w:tcPr>
            <w:tcW w:w="3561" w:type="pct"/>
          </w:tcPr>
          <w:p w:rsidR="00A076D8" w:rsidRPr="00345AA8" w:rsidRDefault="00A076D8" w:rsidP="00D44B74">
            <w:pPr>
              <w:spacing w:before="60"/>
            </w:pPr>
            <w:r w:rsidRPr="00345AA8">
              <w:t>CPPNB</w:t>
            </w:r>
          </w:p>
        </w:tc>
      </w:tr>
      <w:tr w:rsidR="00A076D8" w:rsidRPr="00345AA8" w:rsidTr="00A076D8">
        <w:trPr>
          <w:trHeight w:val="251"/>
          <w:jc w:val="center"/>
        </w:trPr>
        <w:tc>
          <w:tcPr>
            <w:tcW w:w="1439" w:type="pct"/>
            <w:shd w:val="clear" w:color="auto" w:fill="E0E0E0"/>
          </w:tcPr>
          <w:p w:rsidR="00A076D8" w:rsidRPr="00345AA8" w:rsidRDefault="00A076D8" w:rsidP="00A076D8">
            <w:pPr>
              <w:spacing w:before="60"/>
            </w:pPr>
            <w:r w:rsidRPr="00345AA8">
              <w:t>Passage in Document</w:t>
            </w:r>
          </w:p>
        </w:tc>
        <w:tc>
          <w:tcPr>
            <w:tcW w:w="3561" w:type="pct"/>
          </w:tcPr>
          <w:p w:rsidR="00A076D8" w:rsidRPr="00345AA8" w:rsidRDefault="00D44B74" w:rsidP="00A076D8">
            <w:pPr>
              <w:spacing w:before="60"/>
            </w:pPr>
            <w:r w:rsidRPr="00345AA8">
              <w:t>General specifications of the system</w:t>
            </w:r>
          </w:p>
        </w:tc>
      </w:tr>
      <w:tr w:rsidR="00A076D8" w:rsidRPr="00345AA8" w:rsidTr="00A076D8">
        <w:trPr>
          <w:jc w:val="center"/>
        </w:trPr>
        <w:tc>
          <w:tcPr>
            <w:tcW w:w="1439" w:type="pct"/>
            <w:shd w:val="clear" w:color="auto" w:fill="E0E0E0"/>
          </w:tcPr>
          <w:p w:rsidR="00A076D8" w:rsidRPr="00345AA8" w:rsidRDefault="00A076D8" w:rsidP="00A076D8">
            <w:pPr>
              <w:spacing w:before="60"/>
            </w:pPr>
            <w:r w:rsidRPr="00345AA8">
              <w:t>Tenderer’s Question</w:t>
            </w:r>
          </w:p>
        </w:tc>
        <w:tc>
          <w:tcPr>
            <w:tcW w:w="3561" w:type="pct"/>
          </w:tcPr>
          <w:p w:rsidR="00A076D8" w:rsidRPr="00345AA8" w:rsidRDefault="00A076D8" w:rsidP="00A076D8">
            <w:pPr>
              <w:spacing w:before="60"/>
            </w:pPr>
            <w:r w:rsidRPr="00345AA8">
              <w:t>Given that this is a public information site is there a real need for non-repudiation</w:t>
            </w:r>
          </w:p>
        </w:tc>
      </w:tr>
      <w:tr w:rsidR="00A076D8" w:rsidRPr="00345AA8" w:rsidTr="00A076D8">
        <w:trPr>
          <w:jc w:val="center"/>
        </w:trPr>
        <w:tc>
          <w:tcPr>
            <w:tcW w:w="1439" w:type="pct"/>
            <w:shd w:val="clear" w:color="auto" w:fill="E0E0E0"/>
          </w:tcPr>
          <w:p w:rsidR="00A076D8" w:rsidRPr="00345AA8" w:rsidRDefault="00A076D8" w:rsidP="00A076D8">
            <w:pPr>
              <w:spacing w:before="60"/>
            </w:pPr>
            <w:r w:rsidRPr="00345AA8">
              <w:t>Answer</w:t>
            </w:r>
          </w:p>
        </w:tc>
        <w:tc>
          <w:tcPr>
            <w:tcW w:w="3561" w:type="pct"/>
          </w:tcPr>
          <w:p w:rsidR="00A076D8" w:rsidRPr="00345AA8" w:rsidRDefault="00A10308" w:rsidP="00A076D8">
            <w:pPr>
              <w:spacing w:before="60"/>
            </w:pPr>
            <w:r w:rsidRPr="00345AA8">
              <w:t>Please see the Corrigendum No. 1 to the Tender Dossier.</w:t>
            </w:r>
          </w:p>
        </w:tc>
      </w:tr>
    </w:tbl>
    <w:p w:rsidR="00A076D8" w:rsidRPr="00345AA8" w:rsidRDefault="00A076D8" w:rsidP="00A076D8">
      <w:pPr>
        <w:pStyle w:val="Clarification"/>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A076D8" w:rsidRPr="00345AA8" w:rsidTr="00A076D8">
        <w:trPr>
          <w:jc w:val="center"/>
        </w:trPr>
        <w:tc>
          <w:tcPr>
            <w:tcW w:w="1439" w:type="pct"/>
            <w:shd w:val="clear" w:color="auto" w:fill="E0E0E0"/>
          </w:tcPr>
          <w:p w:rsidR="00A076D8" w:rsidRPr="00345AA8" w:rsidRDefault="00A076D8" w:rsidP="00A076D8">
            <w:pPr>
              <w:spacing w:before="60"/>
            </w:pPr>
            <w:r w:rsidRPr="00345AA8">
              <w:t>Document/Section/Page Reference</w:t>
            </w:r>
          </w:p>
        </w:tc>
        <w:tc>
          <w:tcPr>
            <w:tcW w:w="3561" w:type="pct"/>
          </w:tcPr>
          <w:p w:rsidR="00A076D8" w:rsidRPr="00345AA8" w:rsidRDefault="00A076D8" w:rsidP="00A076D8">
            <w:pPr>
              <w:spacing w:before="60"/>
            </w:pPr>
            <w:r w:rsidRPr="00345AA8">
              <w:t xml:space="preserve">Annex II and III- Technical Specifications CPPNB - Final (2) </w:t>
            </w:r>
            <w:proofErr w:type="spellStart"/>
            <w:r w:rsidRPr="00345AA8">
              <w:t>cj</w:t>
            </w:r>
            <w:proofErr w:type="spellEnd"/>
          </w:p>
        </w:tc>
      </w:tr>
      <w:tr w:rsidR="00A076D8" w:rsidRPr="00345AA8" w:rsidTr="00A076D8">
        <w:trPr>
          <w:jc w:val="center"/>
        </w:trPr>
        <w:tc>
          <w:tcPr>
            <w:tcW w:w="1439" w:type="pct"/>
            <w:shd w:val="clear" w:color="auto" w:fill="E0E0E0"/>
          </w:tcPr>
          <w:p w:rsidR="00A076D8" w:rsidRPr="00345AA8" w:rsidRDefault="00A076D8" w:rsidP="00A076D8">
            <w:pPr>
              <w:spacing w:before="60"/>
            </w:pPr>
            <w:r w:rsidRPr="00345AA8">
              <w:t>Topic in Document</w:t>
            </w:r>
          </w:p>
        </w:tc>
        <w:tc>
          <w:tcPr>
            <w:tcW w:w="3561" w:type="pct"/>
          </w:tcPr>
          <w:p w:rsidR="00A076D8" w:rsidRPr="00345AA8" w:rsidRDefault="00A076D8" w:rsidP="00A076D8">
            <w:pPr>
              <w:spacing w:before="60"/>
            </w:pPr>
            <w:r w:rsidRPr="00345AA8">
              <w:t>CPPNB, eLearning</w:t>
            </w:r>
          </w:p>
        </w:tc>
      </w:tr>
      <w:tr w:rsidR="00A076D8" w:rsidRPr="00345AA8" w:rsidTr="00A076D8">
        <w:trPr>
          <w:trHeight w:val="251"/>
          <w:jc w:val="center"/>
        </w:trPr>
        <w:tc>
          <w:tcPr>
            <w:tcW w:w="1439" w:type="pct"/>
            <w:shd w:val="clear" w:color="auto" w:fill="E0E0E0"/>
          </w:tcPr>
          <w:p w:rsidR="00A076D8" w:rsidRPr="00345AA8" w:rsidRDefault="00A076D8" w:rsidP="00A076D8">
            <w:pPr>
              <w:spacing w:before="60"/>
            </w:pPr>
            <w:r w:rsidRPr="00345AA8">
              <w:t>Passage in Document</w:t>
            </w:r>
          </w:p>
        </w:tc>
        <w:tc>
          <w:tcPr>
            <w:tcW w:w="3561" w:type="pct"/>
          </w:tcPr>
          <w:p w:rsidR="00A076D8" w:rsidRPr="00345AA8" w:rsidRDefault="00D43380" w:rsidP="00A076D8">
            <w:pPr>
              <w:spacing w:before="60"/>
            </w:pPr>
            <w:r w:rsidRPr="00345AA8">
              <w:t>Page 4, Item 1.18</w:t>
            </w:r>
          </w:p>
        </w:tc>
      </w:tr>
      <w:tr w:rsidR="00A076D8" w:rsidRPr="00345AA8" w:rsidTr="00A076D8">
        <w:trPr>
          <w:jc w:val="center"/>
        </w:trPr>
        <w:tc>
          <w:tcPr>
            <w:tcW w:w="1439" w:type="pct"/>
            <w:shd w:val="clear" w:color="auto" w:fill="E0E0E0"/>
          </w:tcPr>
          <w:p w:rsidR="00A076D8" w:rsidRPr="00345AA8" w:rsidRDefault="00A076D8" w:rsidP="00A076D8">
            <w:pPr>
              <w:spacing w:before="60"/>
            </w:pPr>
            <w:r w:rsidRPr="00345AA8">
              <w:t>Tenderer’s Question</w:t>
            </w:r>
          </w:p>
        </w:tc>
        <w:tc>
          <w:tcPr>
            <w:tcW w:w="3561" w:type="pct"/>
          </w:tcPr>
          <w:p w:rsidR="00A076D8" w:rsidRPr="00345AA8" w:rsidRDefault="00DE5603" w:rsidP="00A076D8">
            <w:pPr>
              <w:spacing w:before="60"/>
            </w:pPr>
            <w:r w:rsidRPr="00345AA8">
              <w:t>Is the course content for the eLearning Platform part of the scope?</w:t>
            </w:r>
          </w:p>
        </w:tc>
      </w:tr>
      <w:tr w:rsidR="00A076D8" w:rsidRPr="00345AA8" w:rsidTr="00A076D8">
        <w:trPr>
          <w:jc w:val="center"/>
        </w:trPr>
        <w:tc>
          <w:tcPr>
            <w:tcW w:w="1439" w:type="pct"/>
            <w:shd w:val="clear" w:color="auto" w:fill="E0E0E0"/>
          </w:tcPr>
          <w:p w:rsidR="00A076D8" w:rsidRPr="00345AA8" w:rsidRDefault="00A076D8" w:rsidP="00A076D8">
            <w:pPr>
              <w:spacing w:before="60"/>
            </w:pPr>
            <w:r w:rsidRPr="00345AA8">
              <w:t>Answer</w:t>
            </w:r>
          </w:p>
        </w:tc>
        <w:tc>
          <w:tcPr>
            <w:tcW w:w="3561" w:type="pct"/>
          </w:tcPr>
          <w:p w:rsidR="00A076D8" w:rsidRPr="00345AA8" w:rsidRDefault="00970DEE" w:rsidP="00970DEE">
            <w:pPr>
              <w:spacing w:before="60"/>
            </w:pPr>
            <w:r w:rsidRPr="00345AA8">
              <w:t>Only a training course for usage of the CPPNB as specified.</w:t>
            </w:r>
          </w:p>
        </w:tc>
      </w:tr>
    </w:tbl>
    <w:p w:rsidR="00A076D8" w:rsidRPr="00345AA8" w:rsidRDefault="00A076D8" w:rsidP="00A076D8">
      <w:pPr>
        <w:pStyle w:val="Clarification"/>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A076D8" w:rsidRPr="00345AA8" w:rsidTr="00A076D8">
        <w:trPr>
          <w:jc w:val="center"/>
        </w:trPr>
        <w:tc>
          <w:tcPr>
            <w:tcW w:w="1439" w:type="pct"/>
            <w:shd w:val="clear" w:color="auto" w:fill="E0E0E0"/>
          </w:tcPr>
          <w:p w:rsidR="00A076D8" w:rsidRPr="00345AA8" w:rsidRDefault="00A076D8" w:rsidP="00A076D8">
            <w:pPr>
              <w:spacing w:before="60"/>
            </w:pPr>
            <w:r w:rsidRPr="00345AA8">
              <w:t>Document/Section/Page Reference</w:t>
            </w:r>
          </w:p>
        </w:tc>
        <w:tc>
          <w:tcPr>
            <w:tcW w:w="3561" w:type="pct"/>
          </w:tcPr>
          <w:p w:rsidR="00A076D8" w:rsidRPr="00345AA8" w:rsidRDefault="00A076D8" w:rsidP="00A076D8">
            <w:pPr>
              <w:spacing w:before="60"/>
            </w:pPr>
            <w:r w:rsidRPr="00345AA8">
              <w:t xml:space="preserve">Annex II and III- Technical Specifications CPPNB - Final (2) </w:t>
            </w:r>
            <w:proofErr w:type="spellStart"/>
            <w:r w:rsidRPr="00345AA8">
              <w:t>cj</w:t>
            </w:r>
            <w:proofErr w:type="spellEnd"/>
          </w:p>
        </w:tc>
      </w:tr>
      <w:tr w:rsidR="00A076D8" w:rsidRPr="00345AA8" w:rsidTr="00A076D8">
        <w:trPr>
          <w:jc w:val="center"/>
        </w:trPr>
        <w:tc>
          <w:tcPr>
            <w:tcW w:w="1439" w:type="pct"/>
            <w:shd w:val="clear" w:color="auto" w:fill="E0E0E0"/>
          </w:tcPr>
          <w:p w:rsidR="00A076D8" w:rsidRPr="00345AA8" w:rsidRDefault="00A076D8" w:rsidP="00A076D8">
            <w:pPr>
              <w:spacing w:before="60"/>
            </w:pPr>
            <w:r w:rsidRPr="00345AA8">
              <w:t>Topic in Document</w:t>
            </w:r>
          </w:p>
        </w:tc>
        <w:tc>
          <w:tcPr>
            <w:tcW w:w="3561" w:type="pct"/>
          </w:tcPr>
          <w:p w:rsidR="00A076D8" w:rsidRPr="00345AA8" w:rsidRDefault="00D43380" w:rsidP="00A076D8">
            <w:pPr>
              <w:spacing w:before="60"/>
            </w:pPr>
            <w:r w:rsidRPr="00345AA8">
              <w:t>DMZ</w:t>
            </w:r>
          </w:p>
        </w:tc>
      </w:tr>
      <w:tr w:rsidR="00A076D8" w:rsidRPr="00345AA8" w:rsidTr="00A076D8">
        <w:trPr>
          <w:trHeight w:val="251"/>
          <w:jc w:val="center"/>
        </w:trPr>
        <w:tc>
          <w:tcPr>
            <w:tcW w:w="1439" w:type="pct"/>
            <w:shd w:val="clear" w:color="auto" w:fill="E0E0E0"/>
          </w:tcPr>
          <w:p w:rsidR="00A076D8" w:rsidRPr="00345AA8" w:rsidRDefault="00A076D8" w:rsidP="00A076D8">
            <w:pPr>
              <w:spacing w:before="60"/>
            </w:pPr>
            <w:r w:rsidRPr="00345AA8">
              <w:t>Passage in Document</w:t>
            </w:r>
          </w:p>
        </w:tc>
        <w:tc>
          <w:tcPr>
            <w:tcW w:w="3561" w:type="pct"/>
          </w:tcPr>
          <w:p w:rsidR="00A076D8" w:rsidRPr="00345AA8" w:rsidRDefault="00D43380" w:rsidP="00A076D8">
            <w:pPr>
              <w:spacing w:before="60"/>
            </w:pPr>
            <w:r w:rsidRPr="00345AA8">
              <w:t>Page 2 and 3</w:t>
            </w:r>
          </w:p>
        </w:tc>
      </w:tr>
      <w:tr w:rsidR="00A076D8" w:rsidRPr="00345AA8" w:rsidTr="00A076D8">
        <w:trPr>
          <w:jc w:val="center"/>
        </w:trPr>
        <w:tc>
          <w:tcPr>
            <w:tcW w:w="1439" w:type="pct"/>
            <w:shd w:val="clear" w:color="auto" w:fill="E0E0E0"/>
          </w:tcPr>
          <w:p w:rsidR="00A076D8" w:rsidRPr="00345AA8" w:rsidRDefault="00A076D8" w:rsidP="00A076D8">
            <w:pPr>
              <w:spacing w:before="60"/>
            </w:pPr>
            <w:r w:rsidRPr="00345AA8">
              <w:t>Tenderer’s Question</w:t>
            </w:r>
          </w:p>
        </w:tc>
        <w:tc>
          <w:tcPr>
            <w:tcW w:w="3561" w:type="pct"/>
          </w:tcPr>
          <w:p w:rsidR="00A076D8" w:rsidRPr="00345AA8" w:rsidRDefault="000200E7" w:rsidP="00A076D8">
            <w:pPr>
              <w:spacing w:before="60"/>
            </w:pPr>
            <w:r w:rsidRPr="00345AA8">
              <w:t>Can you please confirm where the “de-militarized zone (DMZ) is defined?</w:t>
            </w:r>
          </w:p>
        </w:tc>
      </w:tr>
      <w:tr w:rsidR="00A076D8" w:rsidRPr="00345AA8" w:rsidTr="00A076D8">
        <w:trPr>
          <w:jc w:val="center"/>
        </w:trPr>
        <w:tc>
          <w:tcPr>
            <w:tcW w:w="1439" w:type="pct"/>
            <w:shd w:val="clear" w:color="auto" w:fill="E0E0E0"/>
          </w:tcPr>
          <w:p w:rsidR="00A076D8" w:rsidRPr="00345AA8" w:rsidRDefault="00A076D8" w:rsidP="00A076D8">
            <w:pPr>
              <w:spacing w:before="60"/>
            </w:pPr>
            <w:r w:rsidRPr="00345AA8">
              <w:t>Answer</w:t>
            </w:r>
          </w:p>
        </w:tc>
        <w:tc>
          <w:tcPr>
            <w:tcW w:w="3561" w:type="pct"/>
          </w:tcPr>
          <w:p w:rsidR="00A076D8" w:rsidRPr="00345AA8" w:rsidRDefault="000200E7" w:rsidP="004C046D">
            <w:pPr>
              <w:spacing w:before="60"/>
            </w:pPr>
            <w:r w:rsidRPr="00345AA8">
              <w:t>Please see Figure 1 and 2 and the explanation on the page 2 and 3</w:t>
            </w:r>
            <w:r w:rsidR="004C046D">
              <w:t xml:space="preserve"> of  Corrigendum # 1 </w:t>
            </w:r>
            <w:r w:rsidR="004C046D" w:rsidRPr="00345AA8">
              <w:t xml:space="preserve">Annex II and III- Technical Specifications CPPNB - </w:t>
            </w:r>
          </w:p>
        </w:tc>
      </w:tr>
    </w:tbl>
    <w:p w:rsidR="00A076D8" w:rsidRPr="00345AA8" w:rsidRDefault="00A076D8" w:rsidP="00A076D8">
      <w:pPr>
        <w:pStyle w:val="Clarification"/>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A076D8" w:rsidRPr="00345AA8" w:rsidTr="00A076D8">
        <w:trPr>
          <w:jc w:val="center"/>
        </w:trPr>
        <w:tc>
          <w:tcPr>
            <w:tcW w:w="1439" w:type="pct"/>
            <w:shd w:val="clear" w:color="auto" w:fill="E0E0E0"/>
          </w:tcPr>
          <w:p w:rsidR="00A076D8" w:rsidRPr="00345AA8" w:rsidRDefault="00A076D8" w:rsidP="00A076D8">
            <w:pPr>
              <w:spacing w:before="60"/>
            </w:pPr>
            <w:r w:rsidRPr="00345AA8">
              <w:t>Document/Section/Page Reference</w:t>
            </w:r>
          </w:p>
        </w:tc>
        <w:tc>
          <w:tcPr>
            <w:tcW w:w="3561" w:type="pct"/>
          </w:tcPr>
          <w:p w:rsidR="00A076D8" w:rsidRPr="00345AA8" w:rsidRDefault="00A076D8" w:rsidP="00A076D8">
            <w:pPr>
              <w:spacing w:before="60"/>
            </w:pPr>
            <w:r w:rsidRPr="00345AA8">
              <w:t xml:space="preserve">Annex II and III- Technical Specifications CPPNB - Final (2) </w:t>
            </w:r>
            <w:proofErr w:type="spellStart"/>
            <w:r w:rsidRPr="00345AA8">
              <w:t>cj</w:t>
            </w:r>
            <w:proofErr w:type="spellEnd"/>
          </w:p>
        </w:tc>
      </w:tr>
      <w:tr w:rsidR="00A076D8" w:rsidRPr="00345AA8" w:rsidTr="00A076D8">
        <w:trPr>
          <w:jc w:val="center"/>
        </w:trPr>
        <w:tc>
          <w:tcPr>
            <w:tcW w:w="1439" w:type="pct"/>
            <w:shd w:val="clear" w:color="auto" w:fill="E0E0E0"/>
          </w:tcPr>
          <w:p w:rsidR="00A076D8" w:rsidRPr="00345AA8" w:rsidRDefault="00A076D8" w:rsidP="00A076D8">
            <w:pPr>
              <w:spacing w:before="60"/>
            </w:pPr>
            <w:r w:rsidRPr="00345AA8">
              <w:t>Topic in Document</w:t>
            </w:r>
          </w:p>
        </w:tc>
        <w:tc>
          <w:tcPr>
            <w:tcW w:w="3561" w:type="pct"/>
          </w:tcPr>
          <w:p w:rsidR="00A076D8" w:rsidRPr="00345AA8" w:rsidRDefault="00D43380" w:rsidP="00A076D8">
            <w:pPr>
              <w:spacing w:before="60"/>
            </w:pPr>
            <w:r w:rsidRPr="00345AA8">
              <w:t>CPPNB, Legislation documents</w:t>
            </w:r>
          </w:p>
        </w:tc>
      </w:tr>
      <w:tr w:rsidR="00A076D8" w:rsidRPr="00345AA8" w:rsidTr="00A076D8">
        <w:trPr>
          <w:trHeight w:val="251"/>
          <w:jc w:val="center"/>
        </w:trPr>
        <w:tc>
          <w:tcPr>
            <w:tcW w:w="1439" w:type="pct"/>
            <w:shd w:val="clear" w:color="auto" w:fill="E0E0E0"/>
          </w:tcPr>
          <w:p w:rsidR="00A076D8" w:rsidRPr="00345AA8" w:rsidRDefault="00A076D8" w:rsidP="00A076D8">
            <w:pPr>
              <w:spacing w:before="60"/>
            </w:pPr>
            <w:r w:rsidRPr="00345AA8">
              <w:t>Passage in Document</w:t>
            </w:r>
          </w:p>
        </w:tc>
        <w:tc>
          <w:tcPr>
            <w:tcW w:w="3561" w:type="pct"/>
          </w:tcPr>
          <w:p w:rsidR="00A076D8" w:rsidRPr="00345AA8" w:rsidRDefault="00D43380" w:rsidP="00A076D8">
            <w:pPr>
              <w:spacing w:before="60"/>
            </w:pPr>
            <w:r w:rsidRPr="00345AA8">
              <w:t>Page 2</w:t>
            </w:r>
          </w:p>
        </w:tc>
      </w:tr>
      <w:tr w:rsidR="00A076D8" w:rsidRPr="00345AA8" w:rsidTr="00A076D8">
        <w:trPr>
          <w:jc w:val="center"/>
        </w:trPr>
        <w:tc>
          <w:tcPr>
            <w:tcW w:w="1439" w:type="pct"/>
            <w:shd w:val="clear" w:color="auto" w:fill="E0E0E0"/>
          </w:tcPr>
          <w:p w:rsidR="00A076D8" w:rsidRPr="00345AA8" w:rsidRDefault="00A076D8" w:rsidP="00A076D8">
            <w:pPr>
              <w:spacing w:before="60"/>
            </w:pPr>
            <w:r w:rsidRPr="00345AA8">
              <w:t>Tenderer’s Question</w:t>
            </w:r>
          </w:p>
        </w:tc>
        <w:tc>
          <w:tcPr>
            <w:tcW w:w="3561" w:type="pct"/>
          </w:tcPr>
          <w:p w:rsidR="00A076D8" w:rsidRPr="00345AA8" w:rsidRDefault="00D43380" w:rsidP="00D43380">
            <w:pPr>
              <w:spacing w:before="60"/>
            </w:pPr>
            <w:r w:rsidRPr="00345AA8">
              <w:t>Could you please provide the legislation documents for: the Protocol on Public Procurement for the Caribbean Community, the Community Public Procurement Bill and the Community Procurement Standard Operating Procedures (PSOP)?</w:t>
            </w:r>
          </w:p>
        </w:tc>
      </w:tr>
      <w:tr w:rsidR="00A076D8" w:rsidRPr="00345AA8" w:rsidTr="00A076D8">
        <w:trPr>
          <w:jc w:val="center"/>
        </w:trPr>
        <w:tc>
          <w:tcPr>
            <w:tcW w:w="1439" w:type="pct"/>
            <w:shd w:val="clear" w:color="auto" w:fill="E0E0E0"/>
          </w:tcPr>
          <w:p w:rsidR="00A076D8" w:rsidRPr="00345AA8" w:rsidRDefault="00A076D8" w:rsidP="00A076D8">
            <w:pPr>
              <w:spacing w:before="60"/>
            </w:pPr>
            <w:r w:rsidRPr="00D01CC1">
              <w:t>Answer</w:t>
            </w:r>
          </w:p>
        </w:tc>
        <w:tc>
          <w:tcPr>
            <w:tcW w:w="3561" w:type="pct"/>
          </w:tcPr>
          <w:p w:rsidR="00A076D8" w:rsidRPr="00345AA8" w:rsidRDefault="00B7553C" w:rsidP="00A076D8">
            <w:pPr>
              <w:spacing w:before="60"/>
            </w:pPr>
            <w:r w:rsidRPr="00345AA8">
              <w:t>The legislation documents referenced above are not material to the tender at this time</w:t>
            </w:r>
          </w:p>
        </w:tc>
      </w:tr>
    </w:tbl>
    <w:p w:rsidR="00A076D8" w:rsidRPr="00345AA8" w:rsidRDefault="00A076D8" w:rsidP="00A076D8">
      <w:pPr>
        <w:pStyle w:val="Clarification"/>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A076D8" w:rsidRPr="00345AA8" w:rsidTr="00A076D8">
        <w:trPr>
          <w:jc w:val="center"/>
        </w:trPr>
        <w:tc>
          <w:tcPr>
            <w:tcW w:w="1439" w:type="pct"/>
            <w:shd w:val="clear" w:color="auto" w:fill="E0E0E0"/>
          </w:tcPr>
          <w:p w:rsidR="00A076D8" w:rsidRPr="00345AA8" w:rsidRDefault="00A076D8" w:rsidP="00A076D8">
            <w:pPr>
              <w:spacing w:before="60"/>
            </w:pPr>
            <w:r w:rsidRPr="00345AA8">
              <w:t>Document/Section/Page Reference</w:t>
            </w:r>
          </w:p>
        </w:tc>
        <w:tc>
          <w:tcPr>
            <w:tcW w:w="3561" w:type="pct"/>
          </w:tcPr>
          <w:p w:rsidR="00A076D8" w:rsidRPr="00345AA8" w:rsidRDefault="00A076D8" w:rsidP="00A076D8">
            <w:pPr>
              <w:spacing w:before="60"/>
            </w:pPr>
            <w:r w:rsidRPr="00345AA8">
              <w:t xml:space="preserve">Annex II and III- Technical Specifications CPPNB - Final (2) </w:t>
            </w:r>
            <w:proofErr w:type="spellStart"/>
            <w:r w:rsidRPr="00345AA8">
              <w:t>cj</w:t>
            </w:r>
            <w:proofErr w:type="spellEnd"/>
          </w:p>
        </w:tc>
      </w:tr>
      <w:tr w:rsidR="00A076D8" w:rsidRPr="00345AA8" w:rsidTr="00A076D8">
        <w:trPr>
          <w:jc w:val="center"/>
        </w:trPr>
        <w:tc>
          <w:tcPr>
            <w:tcW w:w="1439" w:type="pct"/>
            <w:shd w:val="clear" w:color="auto" w:fill="E0E0E0"/>
          </w:tcPr>
          <w:p w:rsidR="00A076D8" w:rsidRPr="00345AA8" w:rsidRDefault="00A076D8" w:rsidP="00A076D8">
            <w:pPr>
              <w:spacing w:before="60"/>
            </w:pPr>
            <w:r w:rsidRPr="00345AA8">
              <w:t>Topic in Document</w:t>
            </w:r>
          </w:p>
        </w:tc>
        <w:tc>
          <w:tcPr>
            <w:tcW w:w="3561" w:type="pct"/>
          </w:tcPr>
          <w:p w:rsidR="00A076D8" w:rsidRPr="00345AA8" w:rsidRDefault="00A076D8" w:rsidP="00A076D8">
            <w:pPr>
              <w:spacing w:before="60"/>
            </w:pPr>
            <w:r w:rsidRPr="00345AA8">
              <w:t>CPPNB</w:t>
            </w:r>
          </w:p>
        </w:tc>
      </w:tr>
      <w:tr w:rsidR="00A076D8" w:rsidRPr="00345AA8" w:rsidTr="00A076D8">
        <w:trPr>
          <w:trHeight w:val="251"/>
          <w:jc w:val="center"/>
        </w:trPr>
        <w:tc>
          <w:tcPr>
            <w:tcW w:w="1439" w:type="pct"/>
            <w:shd w:val="clear" w:color="auto" w:fill="E0E0E0"/>
          </w:tcPr>
          <w:p w:rsidR="00A076D8" w:rsidRPr="00345AA8" w:rsidRDefault="00A076D8" w:rsidP="00A076D8">
            <w:pPr>
              <w:spacing w:before="60"/>
            </w:pPr>
            <w:r w:rsidRPr="00345AA8">
              <w:t>Passage in Document</w:t>
            </w:r>
          </w:p>
        </w:tc>
        <w:tc>
          <w:tcPr>
            <w:tcW w:w="3561" w:type="pct"/>
          </w:tcPr>
          <w:p w:rsidR="00A076D8" w:rsidRPr="00345AA8" w:rsidRDefault="007A6389" w:rsidP="00A076D8">
            <w:pPr>
              <w:spacing w:before="60"/>
            </w:pPr>
            <w:r w:rsidRPr="00345AA8">
              <w:t>Item 1.19</w:t>
            </w:r>
          </w:p>
        </w:tc>
      </w:tr>
      <w:tr w:rsidR="00A076D8" w:rsidRPr="00345AA8" w:rsidTr="00A076D8">
        <w:trPr>
          <w:jc w:val="center"/>
        </w:trPr>
        <w:tc>
          <w:tcPr>
            <w:tcW w:w="1439" w:type="pct"/>
            <w:shd w:val="clear" w:color="auto" w:fill="E0E0E0"/>
          </w:tcPr>
          <w:p w:rsidR="00A076D8" w:rsidRPr="00345AA8" w:rsidRDefault="00A076D8" w:rsidP="00A076D8">
            <w:pPr>
              <w:spacing w:before="60"/>
            </w:pPr>
            <w:r w:rsidRPr="00345AA8">
              <w:t>Tenderer’s Question</w:t>
            </w:r>
          </w:p>
        </w:tc>
        <w:tc>
          <w:tcPr>
            <w:tcW w:w="3561" w:type="pct"/>
          </w:tcPr>
          <w:p w:rsidR="00A076D8" w:rsidRPr="00345AA8" w:rsidRDefault="00D43380" w:rsidP="000C1B26">
            <w:pPr>
              <w:spacing w:before="60"/>
            </w:pPr>
            <w:r w:rsidRPr="00345AA8">
              <w:t>What will be the language of the screens that are used for domestic advertising? Is translation part of the scope?</w:t>
            </w:r>
          </w:p>
        </w:tc>
      </w:tr>
      <w:tr w:rsidR="00A076D8" w:rsidRPr="00345AA8" w:rsidTr="00A076D8">
        <w:trPr>
          <w:jc w:val="center"/>
        </w:trPr>
        <w:tc>
          <w:tcPr>
            <w:tcW w:w="1439" w:type="pct"/>
            <w:shd w:val="clear" w:color="auto" w:fill="E0E0E0"/>
          </w:tcPr>
          <w:p w:rsidR="00A076D8" w:rsidRPr="00345AA8" w:rsidRDefault="00A076D8" w:rsidP="00A076D8">
            <w:pPr>
              <w:spacing w:before="60"/>
            </w:pPr>
            <w:r w:rsidRPr="00345AA8">
              <w:t>Answer</w:t>
            </w:r>
          </w:p>
        </w:tc>
        <w:tc>
          <w:tcPr>
            <w:tcW w:w="3561" w:type="pct"/>
          </w:tcPr>
          <w:p w:rsidR="003E02C6" w:rsidRPr="00345AA8" w:rsidRDefault="000C1B26" w:rsidP="003E02C6">
            <w:pPr>
              <w:spacing w:before="60"/>
            </w:pPr>
            <w:r w:rsidRPr="00345AA8">
              <w:t>English, French, Dutch.</w:t>
            </w:r>
          </w:p>
          <w:p w:rsidR="00A076D8" w:rsidRPr="00345AA8" w:rsidRDefault="00C87FBE" w:rsidP="00C87FBE">
            <w:pPr>
              <w:spacing w:before="60"/>
            </w:pPr>
            <w:r w:rsidRPr="00345AA8">
              <w:t>T</w:t>
            </w:r>
            <w:r w:rsidR="00CB645C" w:rsidRPr="00345AA8">
              <w:t xml:space="preserve">he SBDs that will be used </w:t>
            </w:r>
            <w:r w:rsidR="00A754BB" w:rsidRPr="00345AA8">
              <w:t xml:space="preserve">for </w:t>
            </w:r>
            <w:r w:rsidRPr="00345AA8">
              <w:t>e-forms</w:t>
            </w:r>
            <w:r w:rsidR="00A754BB" w:rsidRPr="00345AA8">
              <w:t>/</w:t>
            </w:r>
            <w:r w:rsidR="00CB645C" w:rsidRPr="00345AA8">
              <w:t>screens will be provided to the successful tenderer</w:t>
            </w:r>
            <w:r w:rsidRPr="00345AA8">
              <w:t xml:space="preserve"> in English, French and Dutch</w:t>
            </w:r>
            <w:r w:rsidR="00CB645C" w:rsidRPr="00345AA8">
              <w:t>. However, the user guide should be translated into French and Dutch and is part of the scope</w:t>
            </w:r>
            <w:r w:rsidRPr="00345AA8">
              <w:t>, as specified under Item 1.19 – Documentation.</w:t>
            </w:r>
          </w:p>
        </w:tc>
      </w:tr>
    </w:tbl>
    <w:p w:rsidR="00A076D8" w:rsidRPr="00345AA8" w:rsidRDefault="00A076D8" w:rsidP="00A076D8">
      <w:pPr>
        <w:pStyle w:val="Clarification"/>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A076D8" w:rsidRPr="00345AA8" w:rsidTr="00A076D8">
        <w:trPr>
          <w:jc w:val="center"/>
        </w:trPr>
        <w:tc>
          <w:tcPr>
            <w:tcW w:w="1439" w:type="pct"/>
            <w:shd w:val="clear" w:color="auto" w:fill="E0E0E0"/>
          </w:tcPr>
          <w:p w:rsidR="00A076D8" w:rsidRPr="00345AA8" w:rsidRDefault="00A076D8" w:rsidP="00A076D8">
            <w:pPr>
              <w:spacing w:before="60"/>
            </w:pPr>
            <w:r w:rsidRPr="00345AA8">
              <w:t>Document/Section/Page Reference</w:t>
            </w:r>
          </w:p>
        </w:tc>
        <w:tc>
          <w:tcPr>
            <w:tcW w:w="3561" w:type="pct"/>
          </w:tcPr>
          <w:p w:rsidR="00A076D8" w:rsidRPr="00345AA8" w:rsidRDefault="00A076D8" w:rsidP="00A076D8">
            <w:pPr>
              <w:spacing w:before="60"/>
            </w:pPr>
            <w:r w:rsidRPr="00345AA8">
              <w:t xml:space="preserve">Annex II and III- Technical Specifications CPPNB - Final (2) </w:t>
            </w:r>
            <w:proofErr w:type="spellStart"/>
            <w:r w:rsidRPr="00345AA8">
              <w:t>cj</w:t>
            </w:r>
            <w:proofErr w:type="spellEnd"/>
          </w:p>
        </w:tc>
      </w:tr>
      <w:tr w:rsidR="00A076D8" w:rsidRPr="00345AA8" w:rsidTr="00A076D8">
        <w:trPr>
          <w:jc w:val="center"/>
        </w:trPr>
        <w:tc>
          <w:tcPr>
            <w:tcW w:w="1439" w:type="pct"/>
            <w:shd w:val="clear" w:color="auto" w:fill="E0E0E0"/>
          </w:tcPr>
          <w:p w:rsidR="00A076D8" w:rsidRPr="00345AA8" w:rsidRDefault="00A076D8" w:rsidP="00A076D8">
            <w:pPr>
              <w:spacing w:before="60"/>
            </w:pPr>
            <w:r w:rsidRPr="00345AA8">
              <w:t>Topic in Document</w:t>
            </w:r>
          </w:p>
        </w:tc>
        <w:tc>
          <w:tcPr>
            <w:tcW w:w="3561" w:type="pct"/>
          </w:tcPr>
          <w:p w:rsidR="00A076D8" w:rsidRPr="00345AA8" w:rsidRDefault="00A076D8" w:rsidP="007A6389">
            <w:pPr>
              <w:spacing w:before="60"/>
            </w:pPr>
            <w:r w:rsidRPr="00345AA8">
              <w:t>CPPNB</w:t>
            </w:r>
          </w:p>
        </w:tc>
      </w:tr>
      <w:tr w:rsidR="00A076D8" w:rsidRPr="00345AA8" w:rsidTr="00A076D8">
        <w:trPr>
          <w:trHeight w:val="251"/>
          <w:jc w:val="center"/>
        </w:trPr>
        <w:tc>
          <w:tcPr>
            <w:tcW w:w="1439" w:type="pct"/>
            <w:shd w:val="clear" w:color="auto" w:fill="E0E0E0"/>
          </w:tcPr>
          <w:p w:rsidR="00A076D8" w:rsidRPr="00345AA8" w:rsidRDefault="00A076D8" w:rsidP="00A076D8">
            <w:pPr>
              <w:spacing w:before="60"/>
            </w:pPr>
            <w:r w:rsidRPr="00345AA8">
              <w:t>Passage in Document</w:t>
            </w:r>
          </w:p>
        </w:tc>
        <w:tc>
          <w:tcPr>
            <w:tcW w:w="3561" w:type="pct"/>
          </w:tcPr>
          <w:p w:rsidR="00A076D8" w:rsidRPr="00345AA8" w:rsidRDefault="007A6389" w:rsidP="00A076D8">
            <w:pPr>
              <w:spacing w:before="60"/>
            </w:pPr>
            <w:r w:rsidRPr="00345AA8">
              <w:t>Item 1.19</w:t>
            </w:r>
          </w:p>
        </w:tc>
      </w:tr>
      <w:tr w:rsidR="00A076D8" w:rsidRPr="00345AA8" w:rsidTr="00A076D8">
        <w:trPr>
          <w:jc w:val="center"/>
        </w:trPr>
        <w:tc>
          <w:tcPr>
            <w:tcW w:w="1439" w:type="pct"/>
            <w:shd w:val="clear" w:color="auto" w:fill="E0E0E0"/>
          </w:tcPr>
          <w:p w:rsidR="00A076D8" w:rsidRPr="00345AA8" w:rsidRDefault="00A076D8" w:rsidP="00A076D8">
            <w:pPr>
              <w:spacing w:before="60"/>
            </w:pPr>
            <w:r w:rsidRPr="00345AA8">
              <w:t>Tenderer’s Question</w:t>
            </w:r>
          </w:p>
        </w:tc>
        <w:tc>
          <w:tcPr>
            <w:tcW w:w="3561" w:type="pct"/>
          </w:tcPr>
          <w:p w:rsidR="00A076D8" w:rsidRPr="00345AA8" w:rsidRDefault="00D43380" w:rsidP="00A076D8">
            <w:pPr>
              <w:spacing w:before="60"/>
            </w:pPr>
            <w:r w:rsidRPr="00345AA8">
              <w:t xml:space="preserve">Will </w:t>
            </w:r>
            <w:proofErr w:type="gramStart"/>
            <w:r w:rsidRPr="00345AA8">
              <w:t>a</w:t>
            </w:r>
            <w:proofErr w:type="gramEnd"/>
            <w:r w:rsidRPr="00345AA8">
              <w:t xml:space="preserve"> electronic tender box be provided or is it assumed this will be delivered as part of the scope?</w:t>
            </w:r>
          </w:p>
        </w:tc>
      </w:tr>
      <w:tr w:rsidR="00A076D8" w:rsidRPr="00345AA8" w:rsidTr="00A076D8">
        <w:trPr>
          <w:jc w:val="center"/>
        </w:trPr>
        <w:tc>
          <w:tcPr>
            <w:tcW w:w="1439" w:type="pct"/>
            <w:shd w:val="clear" w:color="auto" w:fill="E0E0E0"/>
          </w:tcPr>
          <w:p w:rsidR="00A076D8" w:rsidRPr="00345AA8" w:rsidRDefault="00A076D8" w:rsidP="00A076D8">
            <w:pPr>
              <w:spacing w:before="60"/>
            </w:pPr>
            <w:r w:rsidRPr="00345AA8">
              <w:t>Answer</w:t>
            </w:r>
          </w:p>
        </w:tc>
        <w:tc>
          <w:tcPr>
            <w:tcW w:w="3561" w:type="pct"/>
          </w:tcPr>
          <w:p w:rsidR="00A076D8" w:rsidRPr="00345AA8" w:rsidRDefault="00A076D8" w:rsidP="007A6389">
            <w:pPr>
              <w:spacing w:before="60"/>
            </w:pPr>
            <w:r w:rsidRPr="00345AA8">
              <w:t>No</w:t>
            </w:r>
            <w:r w:rsidR="007A6389" w:rsidRPr="00345AA8">
              <w:t xml:space="preserve">, CPPBN is </w:t>
            </w:r>
            <w:proofErr w:type="spellStart"/>
            <w:r w:rsidR="007A6389" w:rsidRPr="00345AA8">
              <w:t>eNotification</w:t>
            </w:r>
            <w:proofErr w:type="spellEnd"/>
            <w:r w:rsidR="00A70CD3" w:rsidRPr="00345AA8">
              <w:t xml:space="preserve"> only</w:t>
            </w:r>
            <w:r w:rsidR="007A6389" w:rsidRPr="00345AA8">
              <w:t>, the publication of tenders and procurement notices on the web</w:t>
            </w:r>
            <w:r w:rsidR="00A70CD3" w:rsidRPr="00345AA8">
              <w:t xml:space="preserve">. </w:t>
            </w:r>
            <w:proofErr w:type="spellStart"/>
            <w:proofErr w:type="gramStart"/>
            <w:r w:rsidR="00A70CD3" w:rsidRPr="00345AA8">
              <w:t>eSubmisssion</w:t>
            </w:r>
            <w:proofErr w:type="spellEnd"/>
            <w:proofErr w:type="gramEnd"/>
            <w:r w:rsidR="00A70CD3" w:rsidRPr="00345AA8">
              <w:t xml:space="preserve">, the submission of proposals online </w:t>
            </w:r>
            <w:r w:rsidR="00DC52D1" w:rsidRPr="00345AA8">
              <w:t>has not been envisage in this pha</w:t>
            </w:r>
            <w:r w:rsidR="00A70CD3" w:rsidRPr="00345AA8">
              <w:t>se.</w:t>
            </w:r>
          </w:p>
        </w:tc>
      </w:tr>
    </w:tbl>
    <w:p w:rsidR="00D43380" w:rsidRPr="00345AA8" w:rsidRDefault="00D43380" w:rsidP="00D43380">
      <w:pPr>
        <w:pStyle w:val="Clarification"/>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D43380" w:rsidRPr="00345AA8" w:rsidTr="000C1B26">
        <w:trPr>
          <w:jc w:val="center"/>
        </w:trPr>
        <w:tc>
          <w:tcPr>
            <w:tcW w:w="1439" w:type="pct"/>
            <w:shd w:val="clear" w:color="auto" w:fill="E0E0E0"/>
          </w:tcPr>
          <w:p w:rsidR="00D43380" w:rsidRPr="00345AA8" w:rsidRDefault="00D43380" w:rsidP="000C1B26">
            <w:pPr>
              <w:spacing w:before="60"/>
            </w:pPr>
            <w:r w:rsidRPr="00345AA8">
              <w:t>Document/Section/Page Reference</w:t>
            </w:r>
          </w:p>
        </w:tc>
        <w:tc>
          <w:tcPr>
            <w:tcW w:w="3561" w:type="pct"/>
          </w:tcPr>
          <w:p w:rsidR="00D43380" w:rsidRPr="00345AA8" w:rsidRDefault="00D43380" w:rsidP="000C1B26">
            <w:pPr>
              <w:spacing w:before="60"/>
            </w:pPr>
            <w:r w:rsidRPr="00345AA8">
              <w:t xml:space="preserve">Annex II and III- Technical Specifications CPPNB - Final (2) </w:t>
            </w:r>
            <w:proofErr w:type="spellStart"/>
            <w:r w:rsidRPr="00345AA8">
              <w:t>cj</w:t>
            </w:r>
            <w:proofErr w:type="spellEnd"/>
          </w:p>
        </w:tc>
      </w:tr>
      <w:tr w:rsidR="00D43380" w:rsidRPr="00345AA8" w:rsidTr="000C1B26">
        <w:trPr>
          <w:jc w:val="center"/>
        </w:trPr>
        <w:tc>
          <w:tcPr>
            <w:tcW w:w="1439" w:type="pct"/>
            <w:shd w:val="clear" w:color="auto" w:fill="E0E0E0"/>
          </w:tcPr>
          <w:p w:rsidR="00D43380" w:rsidRPr="00345AA8" w:rsidRDefault="00D43380" w:rsidP="000C1B26">
            <w:pPr>
              <w:spacing w:before="60"/>
            </w:pPr>
            <w:r w:rsidRPr="00345AA8">
              <w:t>Topic in Document</w:t>
            </w:r>
          </w:p>
        </w:tc>
        <w:tc>
          <w:tcPr>
            <w:tcW w:w="3561" w:type="pct"/>
          </w:tcPr>
          <w:p w:rsidR="00D43380" w:rsidRPr="00345AA8" w:rsidRDefault="00DC52D1" w:rsidP="000C1B26">
            <w:pPr>
              <w:spacing w:before="60"/>
            </w:pPr>
            <w:proofErr w:type="spellStart"/>
            <w:r w:rsidRPr="00345AA8">
              <w:t>Eurosupport</w:t>
            </w:r>
            <w:proofErr w:type="spellEnd"/>
          </w:p>
        </w:tc>
      </w:tr>
      <w:tr w:rsidR="00D43380" w:rsidRPr="00345AA8" w:rsidTr="000C1B26">
        <w:trPr>
          <w:trHeight w:val="251"/>
          <w:jc w:val="center"/>
        </w:trPr>
        <w:tc>
          <w:tcPr>
            <w:tcW w:w="1439" w:type="pct"/>
            <w:shd w:val="clear" w:color="auto" w:fill="E0E0E0"/>
          </w:tcPr>
          <w:p w:rsidR="00D43380" w:rsidRPr="00345AA8" w:rsidRDefault="00D43380" w:rsidP="000C1B26">
            <w:pPr>
              <w:spacing w:before="60"/>
            </w:pPr>
            <w:r w:rsidRPr="00345AA8">
              <w:t>Passage in Document</w:t>
            </w:r>
          </w:p>
        </w:tc>
        <w:tc>
          <w:tcPr>
            <w:tcW w:w="3561" w:type="pct"/>
          </w:tcPr>
          <w:p w:rsidR="00D43380" w:rsidRPr="00345AA8" w:rsidRDefault="00DC52D1" w:rsidP="000C1B26">
            <w:pPr>
              <w:spacing w:before="60"/>
            </w:pPr>
            <w:r w:rsidRPr="00345AA8">
              <w:t>Page 4</w:t>
            </w:r>
          </w:p>
        </w:tc>
      </w:tr>
      <w:tr w:rsidR="00D43380" w:rsidRPr="00345AA8" w:rsidTr="000C1B26">
        <w:trPr>
          <w:jc w:val="center"/>
        </w:trPr>
        <w:tc>
          <w:tcPr>
            <w:tcW w:w="1439" w:type="pct"/>
            <w:shd w:val="clear" w:color="auto" w:fill="E0E0E0"/>
          </w:tcPr>
          <w:p w:rsidR="00D43380" w:rsidRPr="00345AA8" w:rsidRDefault="00D43380" w:rsidP="000C1B26">
            <w:pPr>
              <w:spacing w:before="60"/>
            </w:pPr>
            <w:r w:rsidRPr="00345AA8">
              <w:t>Tenderer’s Question</w:t>
            </w:r>
          </w:p>
        </w:tc>
        <w:tc>
          <w:tcPr>
            <w:tcW w:w="3561" w:type="pct"/>
          </w:tcPr>
          <w:p w:rsidR="00D43380" w:rsidRPr="00345AA8" w:rsidRDefault="00D43380" w:rsidP="000C1B26">
            <w:pPr>
              <w:spacing w:before="60"/>
            </w:pPr>
            <w:r w:rsidRPr="00345AA8">
              <w:t>Will Euro-Support (under contract from CARICOM) provide “procurement” guidance to CPPNB buyers/suppliers?</w:t>
            </w:r>
          </w:p>
        </w:tc>
      </w:tr>
      <w:tr w:rsidR="00D43380" w:rsidRPr="00345AA8" w:rsidTr="000C1B26">
        <w:trPr>
          <w:jc w:val="center"/>
        </w:trPr>
        <w:tc>
          <w:tcPr>
            <w:tcW w:w="1439" w:type="pct"/>
            <w:shd w:val="clear" w:color="auto" w:fill="E0E0E0"/>
          </w:tcPr>
          <w:p w:rsidR="00D43380" w:rsidRPr="00345AA8" w:rsidRDefault="00D43380" w:rsidP="000C1B26">
            <w:pPr>
              <w:spacing w:before="60"/>
            </w:pPr>
            <w:r w:rsidRPr="00345AA8">
              <w:t>Answer</w:t>
            </w:r>
          </w:p>
        </w:tc>
        <w:tc>
          <w:tcPr>
            <w:tcW w:w="3561" w:type="pct"/>
          </w:tcPr>
          <w:p w:rsidR="000C1B26" w:rsidRPr="00345AA8" w:rsidRDefault="000C1B26" w:rsidP="000C1B26">
            <w:pPr>
              <w:spacing w:before="60"/>
            </w:pPr>
            <w:r w:rsidRPr="00345AA8">
              <w:t>Yes</w:t>
            </w:r>
            <w:r w:rsidR="00C30F8B" w:rsidRPr="00345AA8">
              <w:t xml:space="preserve"> </w:t>
            </w:r>
            <w:r w:rsidR="004C046D">
              <w:t xml:space="preserve">, this support will be provided through the Contracting Authority </w:t>
            </w:r>
          </w:p>
        </w:tc>
      </w:tr>
    </w:tbl>
    <w:p w:rsidR="00A758D7" w:rsidRPr="00345AA8" w:rsidRDefault="00A758D7" w:rsidP="00A758D7">
      <w:pPr>
        <w:pStyle w:val="Clarification"/>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A758D7" w:rsidRPr="00345AA8" w:rsidTr="00A758D7">
        <w:trPr>
          <w:jc w:val="center"/>
        </w:trPr>
        <w:tc>
          <w:tcPr>
            <w:tcW w:w="1439" w:type="pct"/>
            <w:shd w:val="clear" w:color="auto" w:fill="E0E0E0"/>
          </w:tcPr>
          <w:p w:rsidR="00A758D7" w:rsidRPr="00345AA8" w:rsidRDefault="00A758D7" w:rsidP="00A758D7">
            <w:pPr>
              <w:spacing w:before="60"/>
            </w:pPr>
            <w:r w:rsidRPr="00345AA8">
              <w:t>Document/Section/Page Reference</w:t>
            </w:r>
          </w:p>
        </w:tc>
        <w:tc>
          <w:tcPr>
            <w:tcW w:w="3561" w:type="pct"/>
          </w:tcPr>
          <w:p w:rsidR="00A758D7" w:rsidRPr="00345AA8" w:rsidRDefault="00A758D7" w:rsidP="00A758D7">
            <w:pPr>
              <w:spacing w:before="60"/>
            </w:pPr>
            <w:r w:rsidRPr="00345AA8">
              <w:t xml:space="preserve">Annex II and III- Technical Specifications CPPNB - Final (2) </w:t>
            </w:r>
            <w:proofErr w:type="spellStart"/>
            <w:r w:rsidRPr="00345AA8">
              <w:t>cj</w:t>
            </w:r>
            <w:proofErr w:type="spellEnd"/>
            <w:r w:rsidRPr="00345AA8">
              <w:t>/p.19</w:t>
            </w:r>
          </w:p>
        </w:tc>
      </w:tr>
      <w:tr w:rsidR="00A758D7" w:rsidRPr="00345AA8" w:rsidTr="00A758D7">
        <w:trPr>
          <w:jc w:val="center"/>
        </w:trPr>
        <w:tc>
          <w:tcPr>
            <w:tcW w:w="1439" w:type="pct"/>
            <w:shd w:val="clear" w:color="auto" w:fill="E0E0E0"/>
          </w:tcPr>
          <w:p w:rsidR="00A758D7" w:rsidRPr="00345AA8" w:rsidRDefault="00A758D7" w:rsidP="00A758D7">
            <w:pPr>
              <w:spacing w:before="60"/>
            </w:pPr>
            <w:r w:rsidRPr="00345AA8">
              <w:t>Topic in Document</w:t>
            </w:r>
          </w:p>
        </w:tc>
        <w:tc>
          <w:tcPr>
            <w:tcW w:w="3561" w:type="pct"/>
          </w:tcPr>
          <w:p w:rsidR="00A758D7" w:rsidRPr="00345AA8" w:rsidRDefault="00A758D7" w:rsidP="00A758D7">
            <w:pPr>
              <w:spacing w:before="60"/>
            </w:pPr>
            <w:r w:rsidRPr="00345AA8">
              <w:t>1.18 e-Learning platform</w:t>
            </w:r>
          </w:p>
        </w:tc>
      </w:tr>
      <w:tr w:rsidR="00A758D7" w:rsidRPr="00345AA8" w:rsidTr="00A758D7">
        <w:trPr>
          <w:trHeight w:val="251"/>
          <w:jc w:val="center"/>
        </w:trPr>
        <w:tc>
          <w:tcPr>
            <w:tcW w:w="1439" w:type="pct"/>
            <w:shd w:val="clear" w:color="auto" w:fill="E0E0E0"/>
          </w:tcPr>
          <w:p w:rsidR="00A758D7" w:rsidRPr="00345AA8" w:rsidRDefault="00A758D7" w:rsidP="00A758D7">
            <w:pPr>
              <w:spacing w:before="60"/>
            </w:pPr>
            <w:r w:rsidRPr="00345AA8">
              <w:t>Passage in Document</w:t>
            </w:r>
          </w:p>
        </w:tc>
        <w:tc>
          <w:tcPr>
            <w:tcW w:w="3561" w:type="pct"/>
          </w:tcPr>
          <w:p w:rsidR="00A758D7" w:rsidRPr="00345AA8" w:rsidRDefault="00A758D7" w:rsidP="00A758D7">
            <w:pPr>
              <w:spacing w:before="60"/>
              <w:rPr>
                <w:b/>
              </w:rPr>
            </w:pPr>
            <w:r w:rsidRPr="00345AA8">
              <w:rPr>
                <w:b/>
              </w:rPr>
              <w:t xml:space="preserve">Shared synchronous resources: </w:t>
            </w:r>
            <w:r w:rsidRPr="00345AA8">
              <w:t xml:space="preserve">Sharing of a teacher’s or student’s screen (for example, the teacher demonstrates how to do something) or sharing of software programs. Access to file systems and databanks. Uploading and downloading of documents (organised in folders, for example) created by teachers or students. </w:t>
            </w:r>
          </w:p>
          <w:p w:rsidR="00A758D7" w:rsidRPr="00345AA8" w:rsidRDefault="00A758D7" w:rsidP="00A758D7">
            <w:pPr>
              <w:spacing w:before="60"/>
              <w:rPr>
                <w:b/>
              </w:rPr>
            </w:pPr>
            <w:r w:rsidRPr="00345AA8">
              <w:rPr>
                <w:b/>
              </w:rPr>
              <w:t>[…]</w:t>
            </w:r>
          </w:p>
          <w:p w:rsidR="00A758D7" w:rsidRPr="00345AA8" w:rsidRDefault="00A758D7" w:rsidP="00A758D7">
            <w:pPr>
              <w:spacing w:before="60"/>
            </w:pPr>
            <w:r w:rsidRPr="00345AA8">
              <w:rPr>
                <w:b/>
              </w:rPr>
              <w:t xml:space="preserve">Audio/video conferencing: </w:t>
            </w:r>
            <w:r w:rsidRPr="00345AA8">
              <w:t xml:space="preserve">Virtual class lesson or seminar discussions. Usually these tools integrate the possibility of sharing material (for example, </w:t>
            </w:r>
            <w:r w:rsidRPr="00345AA8">
              <w:lastRenderedPageBreak/>
              <w:t>PowerPoint slides) and of managing the class through requests to speak (raising a hand and passing the microphone).</w:t>
            </w:r>
          </w:p>
        </w:tc>
      </w:tr>
      <w:tr w:rsidR="00A758D7" w:rsidRPr="00345AA8" w:rsidTr="00A758D7">
        <w:trPr>
          <w:jc w:val="center"/>
        </w:trPr>
        <w:tc>
          <w:tcPr>
            <w:tcW w:w="1439" w:type="pct"/>
            <w:shd w:val="clear" w:color="auto" w:fill="E0E0E0"/>
          </w:tcPr>
          <w:p w:rsidR="00A758D7" w:rsidRPr="00345AA8" w:rsidRDefault="00A758D7" w:rsidP="00A758D7">
            <w:pPr>
              <w:spacing w:before="60"/>
            </w:pPr>
            <w:r w:rsidRPr="00345AA8">
              <w:lastRenderedPageBreak/>
              <w:t>Tenderer’s Question</w:t>
            </w:r>
          </w:p>
        </w:tc>
        <w:tc>
          <w:tcPr>
            <w:tcW w:w="3561" w:type="pct"/>
          </w:tcPr>
          <w:p w:rsidR="00A758D7" w:rsidRPr="00345AA8" w:rsidRDefault="00A758D7" w:rsidP="00A758D7">
            <w:pPr>
              <w:spacing w:before="60"/>
            </w:pPr>
            <w:r w:rsidRPr="00345AA8">
              <w:t>Shared synchronous resources and audio/video conferencing may require additional bandwidth provisions. We understand that any necessary bandwidth requirements will be addressed by the existing datacentre infrastructure. Please confirm.</w:t>
            </w:r>
          </w:p>
        </w:tc>
      </w:tr>
      <w:tr w:rsidR="00A758D7" w:rsidRPr="00345AA8" w:rsidTr="00A758D7">
        <w:trPr>
          <w:jc w:val="center"/>
        </w:trPr>
        <w:tc>
          <w:tcPr>
            <w:tcW w:w="1439" w:type="pct"/>
            <w:shd w:val="clear" w:color="auto" w:fill="E0E0E0"/>
          </w:tcPr>
          <w:p w:rsidR="00A758D7" w:rsidRPr="00345AA8" w:rsidRDefault="00A758D7" w:rsidP="00A758D7">
            <w:pPr>
              <w:spacing w:before="60"/>
            </w:pPr>
            <w:r w:rsidRPr="00345AA8">
              <w:t>Answer</w:t>
            </w:r>
          </w:p>
        </w:tc>
        <w:tc>
          <w:tcPr>
            <w:tcW w:w="3561" w:type="pct"/>
          </w:tcPr>
          <w:p w:rsidR="00A758D7" w:rsidRPr="00345AA8" w:rsidRDefault="00A758D7" w:rsidP="00A758D7">
            <w:pPr>
              <w:spacing w:before="60"/>
            </w:pPr>
            <w:r w:rsidRPr="00345AA8">
              <w:t>Yes</w:t>
            </w:r>
          </w:p>
        </w:tc>
      </w:tr>
    </w:tbl>
    <w:p w:rsidR="00A754BB" w:rsidRPr="00345AA8" w:rsidRDefault="00A754BB" w:rsidP="00A754BB">
      <w:pPr>
        <w:pStyle w:val="Clarification"/>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A754BB" w:rsidRPr="00345AA8" w:rsidTr="00A754BB">
        <w:trPr>
          <w:jc w:val="center"/>
        </w:trPr>
        <w:tc>
          <w:tcPr>
            <w:tcW w:w="1439" w:type="pct"/>
            <w:shd w:val="clear" w:color="auto" w:fill="E0E0E0"/>
          </w:tcPr>
          <w:p w:rsidR="00A754BB" w:rsidRPr="00345AA8" w:rsidRDefault="00A754BB" w:rsidP="00A754BB">
            <w:pPr>
              <w:spacing w:before="60"/>
            </w:pPr>
            <w:r w:rsidRPr="00345AA8">
              <w:t>Document/Section/Page Reference</w:t>
            </w:r>
          </w:p>
        </w:tc>
        <w:tc>
          <w:tcPr>
            <w:tcW w:w="3561" w:type="pct"/>
          </w:tcPr>
          <w:p w:rsidR="00A754BB" w:rsidRPr="00345AA8" w:rsidRDefault="00A754BB" w:rsidP="00A754BB">
            <w:pPr>
              <w:spacing w:before="60"/>
            </w:pPr>
            <w:r w:rsidRPr="00345AA8">
              <w:t xml:space="preserve">Annex II and III- Technical Specifications CPPNB - Final (2) </w:t>
            </w:r>
            <w:proofErr w:type="spellStart"/>
            <w:r w:rsidRPr="00345AA8">
              <w:t>cj</w:t>
            </w:r>
            <w:proofErr w:type="spellEnd"/>
          </w:p>
        </w:tc>
      </w:tr>
      <w:tr w:rsidR="00A754BB" w:rsidRPr="00345AA8" w:rsidTr="00A754BB">
        <w:trPr>
          <w:jc w:val="center"/>
        </w:trPr>
        <w:tc>
          <w:tcPr>
            <w:tcW w:w="1439" w:type="pct"/>
            <w:shd w:val="clear" w:color="auto" w:fill="E0E0E0"/>
          </w:tcPr>
          <w:p w:rsidR="00A754BB" w:rsidRPr="00345AA8" w:rsidRDefault="00A754BB" w:rsidP="00A754BB">
            <w:pPr>
              <w:spacing w:before="60"/>
            </w:pPr>
            <w:r w:rsidRPr="00345AA8">
              <w:t>Topic in Document</w:t>
            </w:r>
          </w:p>
        </w:tc>
        <w:tc>
          <w:tcPr>
            <w:tcW w:w="3561" w:type="pct"/>
          </w:tcPr>
          <w:p w:rsidR="00A754BB" w:rsidRPr="00345AA8" w:rsidRDefault="00A754BB" w:rsidP="00A754BB">
            <w:pPr>
              <w:spacing w:before="60"/>
            </w:pPr>
            <w:r w:rsidRPr="00345AA8">
              <w:t>Firewalls</w:t>
            </w:r>
          </w:p>
        </w:tc>
      </w:tr>
      <w:tr w:rsidR="00A754BB" w:rsidRPr="00345AA8" w:rsidTr="00A754BB">
        <w:trPr>
          <w:trHeight w:val="251"/>
          <w:jc w:val="center"/>
        </w:trPr>
        <w:tc>
          <w:tcPr>
            <w:tcW w:w="1439" w:type="pct"/>
            <w:shd w:val="clear" w:color="auto" w:fill="E0E0E0"/>
          </w:tcPr>
          <w:p w:rsidR="00A754BB" w:rsidRPr="00345AA8" w:rsidRDefault="00A754BB" w:rsidP="00A754BB">
            <w:pPr>
              <w:spacing w:before="60"/>
            </w:pPr>
            <w:r w:rsidRPr="00345AA8">
              <w:t>Passage in Document</w:t>
            </w:r>
          </w:p>
        </w:tc>
        <w:tc>
          <w:tcPr>
            <w:tcW w:w="3561" w:type="pct"/>
          </w:tcPr>
          <w:p w:rsidR="00A754BB" w:rsidRPr="00345AA8" w:rsidRDefault="00A754BB" w:rsidP="00A754BB">
            <w:pPr>
              <w:spacing w:before="60"/>
            </w:pPr>
            <w:r w:rsidRPr="00345AA8">
              <w:t>Item 1.12 and 1.13</w:t>
            </w:r>
          </w:p>
        </w:tc>
      </w:tr>
      <w:tr w:rsidR="00A754BB" w:rsidRPr="00345AA8" w:rsidTr="00A754BB">
        <w:trPr>
          <w:jc w:val="center"/>
        </w:trPr>
        <w:tc>
          <w:tcPr>
            <w:tcW w:w="1439" w:type="pct"/>
            <w:shd w:val="clear" w:color="auto" w:fill="E0E0E0"/>
          </w:tcPr>
          <w:p w:rsidR="00A754BB" w:rsidRPr="00345AA8" w:rsidRDefault="00A754BB" w:rsidP="00A754BB">
            <w:pPr>
              <w:spacing w:before="60"/>
            </w:pPr>
            <w:r w:rsidRPr="00345AA8">
              <w:t>Tenderer’s Question</w:t>
            </w:r>
          </w:p>
        </w:tc>
        <w:tc>
          <w:tcPr>
            <w:tcW w:w="3561" w:type="pct"/>
          </w:tcPr>
          <w:p w:rsidR="009C4483" w:rsidRPr="00345AA8" w:rsidRDefault="009C4483" w:rsidP="009C4483">
            <w:pPr>
              <w:widowControl w:val="0"/>
              <w:autoSpaceDE w:val="0"/>
              <w:autoSpaceDN w:val="0"/>
              <w:adjustRightInd w:val="0"/>
              <w:spacing w:after="0"/>
              <w:jc w:val="left"/>
            </w:pPr>
            <w:r w:rsidRPr="00345AA8">
              <w:t>1. How many concurrent client accesses need you as a VPN?</w:t>
            </w:r>
          </w:p>
          <w:p w:rsidR="009C4483" w:rsidRPr="00345AA8" w:rsidRDefault="009C4483" w:rsidP="009C4483">
            <w:pPr>
              <w:widowControl w:val="0"/>
              <w:autoSpaceDE w:val="0"/>
              <w:autoSpaceDN w:val="0"/>
              <w:adjustRightInd w:val="0"/>
              <w:spacing w:after="0"/>
              <w:jc w:val="left"/>
            </w:pPr>
            <w:r w:rsidRPr="00345AA8">
              <w:t>2. What do you mean by Messaging Security? Do you want the filter for e-mail or what else?</w:t>
            </w:r>
          </w:p>
          <w:p w:rsidR="00A754BB" w:rsidRPr="00345AA8" w:rsidRDefault="009C4483" w:rsidP="009C4483">
            <w:pPr>
              <w:widowControl w:val="0"/>
              <w:autoSpaceDE w:val="0"/>
              <w:autoSpaceDN w:val="0"/>
              <w:adjustRightInd w:val="0"/>
              <w:spacing w:after="0"/>
              <w:jc w:val="left"/>
            </w:pPr>
            <w:r w:rsidRPr="00345AA8">
              <w:t>3. As regards the NAC what do you want to implement?</w:t>
            </w:r>
          </w:p>
        </w:tc>
      </w:tr>
      <w:tr w:rsidR="00A754BB" w:rsidRPr="00345AA8" w:rsidTr="00A754BB">
        <w:trPr>
          <w:jc w:val="center"/>
        </w:trPr>
        <w:tc>
          <w:tcPr>
            <w:tcW w:w="1439" w:type="pct"/>
            <w:shd w:val="clear" w:color="auto" w:fill="E0E0E0"/>
          </w:tcPr>
          <w:p w:rsidR="00A754BB" w:rsidRPr="00345AA8" w:rsidRDefault="00A754BB" w:rsidP="00A754BB">
            <w:pPr>
              <w:spacing w:before="60"/>
            </w:pPr>
            <w:r w:rsidRPr="00345AA8">
              <w:t>Answer</w:t>
            </w:r>
          </w:p>
        </w:tc>
        <w:tc>
          <w:tcPr>
            <w:tcW w:w="3561" w:type="pct"/>
          </w:tcPr>
          <w:p w:rsidR="00A754BB" w:rsidRPr="00345AA8" w:rsidRDefault="00A005B4" w:rsidP="002004B7">
            <w:pPr>
              <w:widowControl w:val="0"/>
              <w:autoSpaceDE w:val="0"/>
              <w:autoSpaceDN w:val="0"/>
              <w:adjustRightInd w:val="0"/>
              <w:spacing w:after="0"/>
              <w:jc w:val="left"/>
            </w:pPr>
            <w:r w:rsidRPr="00345AA8">
              <w:t>1.</w:t>
            </w:r>
            <w:r w:rsidR="00E6599B" w:rsidRPr="00345AA8">
              <w:t xml:space="preserve"> </w:t>
            </w:r>
            <w:r w:rsidR="002004B7" w:rsidRPr="00345AA8">
              <w:t>To satisfy business requirements for Item 1.18 and 1.19.</w:t>
            </w:r>
          </w:p>
          <w:p w:rsidR="00A005B4" w:rsidRPr="00345AA8" w:rsidRDefault="00A005B4" w:rsidP="002004B7">
            <w:pPr>
              <w:widowControl w:val="0"/>
              <w:autoSpaceDE w:val="0"/>
              <w:autoSpaceDN w:val="0"/>
              <w:adjustRightInd w:val="0"/>
              <w:spacing w:after="0"/>
              <w:jc w:val="left"/>
            </w:pPr>
            <w:r w:rsidRPr="00345AA8">
              <w:t>2.</w:t>
            </w:r>
            <w:r w:rsidR="002004B7" w:rsidRPr="00345AA8">
              <w:t xml:space="preserve"> To provide protection for messaging infrastructure.</w:t>
            </w:r>
          </w:p>
          <w:p w:rsidR="00A005B4" w:rsidRPr="00345AA8" w:rsidRDefault="00A005B4" w:rsidP="002004B7">
            <w:pPr>
              <w:widowControl w:val="0"/>
              <w:autoSpaceDE w:val="0"/>
              <w:autoSpaceDN w:val="0"/>
              <w:adjustRightInd w:val="0"/>
              <w:spacing w:after="0"/>
              <w:jc w:val="left"/>
            </w:pPr>
            <w:r w:rsidRPr="00345AA8">
              <w:t>3.</w:t>
            </w:r>
            <w:r w:rsidR="002004B7" w:rsidRPr="00345AA8">
              <w:t xml:space="preserve"> Policy enforcement, identity and access management.</w:t>
            </w:r>
          </w:p>
        </w:tc>
      </w:tr>
    </w:tbl>
    <w:p w:rsidR="00A758D7" w:rsidRPr="00345AA8" w:rsidRDefault="00A758D7" w:rsidP="006E4EA7"/>
    <w:p w:rsidR="00012F65" w:rsidRPr="00345AA8" w:rsidRDefault="00012F65" w:rsidP="006E4EA7">
      <w:r w:rsidRPr="00345AA8">
        <w:t>Clarification 41: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012F65" w:rsidRPr="00345AA8" w:rsidTr="00D92DCC">
        <w:trPr>
          <w:jc w:val="center"/>
        </w:trPr>
        <w:tc>
          <w:tcPr>
            <w:tcW w:w="1439" w:type="pct"/>
            <w:shd w:val="clear" w:color="auto" w:fill="E0E0E0"/>
          </w:tcPr>
          <w:p w:rsidR="00012F65" w:rsidRPr="00345AA8" w:rsidRDefault="00012F65" w:rsidP="00D92DCC">
            <w:pPr>
              <w:spacing w:before="60"/>
            </w:pPr>
            <w:r w:rsidRPr="00345AA8">
              <w:t>Tenderer’s Question</w:t>
            </w:r>
          </w:p>
        </w:tc>
        <w:tc>
          <w:tcPr>
            <w:tcW w:w="3561" w:type="pct"/>
          </w:tcPr>
          <w:p w:rsidR="00012F65" w:rsidRPr="00345AA8" w:rsidRDefault="00012F65" w:rsidP="00D92DCC">
            <w:r w:rsidRPr="00345AA8">
              <w:rPr>
                <w:color w:val="282828"/>
              </w:rPr>
              <w:t>What type of license will the software be purchased under: a Non-profit license or commercial license?</w:t>
            </w:r>
          </w:p>
        </w:tc>
      </w:tr>
      <w:tr w:rsidR="00012F65" w:rsidRPr="00345AA8" w:rsidTr="00D92DCC">
        <w:trPr>
          <w:jc w:val="center"/>
        </w:trPr>
        <w:tc>
          <w:tcPr>
            <w:tcW w:w="1439" w:type="pct"/>
            <w:shd w:val="clear" w:color="auto" w:fill="E0E0E0"/>
          </w:tcPr>
          <w:p w:rsidR="00012F65" w:rsidRPr="00345AA8" w:rsidRDefault="00012F65" w:rsidP="00D92DCC">
            <w:pPr>
              <w:spacing w:before="60"/>
            </w:pPr>
            <w:r w:rsidRPr="00345AA8">
              <w:t>Answer</w:t>
            </w:r>
          </w:p>
        </w:tc>
        <w:tc>
          <w:tcPr>
            <w:tcW w:w="3561" w:type="pct"/>
          </w:tcPr>
          <w:p w:rsidR="00012F65" w:rsidRPr="00D01CC1" w:rsidRDefault="00012F65" w:rsidP="00D92DCC">
            <w:r w:rsidRPr="00D01CC1">
              <w:t>The software should be purchased under a Non-profit license</w:t>
            </w:r>
          </w:p>
        </w:tc>
      </w:tr>
    </w:tbl>
    <w:p w:rsidR="00A754BB" w:rsidRPr="00345AA8" w:rsidRDefault="00A754BB" w:rsidP="00D6354D">
      <w:pPr>
        <w:jc w:val="left"/>
        <w:rPr>
          <w:b/>
          <w:highlight w:val="red"/>
        </w:rPr>
      </w:pPr>
    </w:p>
    <w:p w:rsidR="00012F65" w:rsidRPr="00345AA8" w:rsidRDefault="00012F65" w:rsidP="00D6354D">
      <w:pPr>
        <w:jc w:val="left"/>
      </w:pPr>
      <w:r w:rsidRPr="00345AA8">
        <w:t>Clarification 42: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012F65" w:rsidRPr="00345AA8" w:rsidTr="00D92DCC">
        <w:trPr>
          <w:jc w:val="center"/>
        </w:trPr>
        <w:tc>
          <w:tcPr>
            <w:tcW w:w="1439" w:type="pct"/>
            <w:shd w:val="clear" w:color="auto" w:fill="E0E0E0"/>
          </w:tcPr>
          <w:p w:rsidR="00012F65" w:rsidRPr="00345AA8" w:rsidRDefault="00012F65" w:rsidP="00D92DCC">
            <w:pPr>
              <w:spacing w:before="60"/>
            </w:pPr>
            <w:r w:rsidRPr="00345AA8">
              <w:t>Tenderer’s Question</w:t>
            </w:r>
          </w:p>
        </w:tc>
        <w:tc>
          <w:tcPr>
            <w:tcW w:w="3561" w:type="pct"/>
          </w:tcPr>
          <w:p w:rsidR="00012F65" w:rsidRPr="00345AA8" w:rsidRDefault="00012F65" w:rsidP="00D92DCC">
            <w:r w:rsidRPr="00345AA8">
              <w:rPr>
                <w:color w:val="282828"/>
              </w:rPr>
              <w:t>Does the budget ONLY cover the cost of the items listed i.e. it does not cover travel expenses for installation?</w:t>
            </w:r>
          </w:p>
        </w:tc>
      </w:tr>
      <w:tr w:rsidR="00012F65" w:rsidRPr="00345AA8" w:rsidTr="00D92DCC">
        <w:trPr>
          <w:jc w:val="center"/>
        </w:trPr>
        <w:tc>
          <w:tcPr>
            <w:tcW w:w="1439" w:type="pct"/>
            <w:shd w:val="clear" w:color="auto" w:fill="E0E0E0"/>
          </w:tcPr>
          <w:p w:rsidR="00012F65" w:rsidRPr="00345AA8" w:rsidRDefault="00012F65" w:rsidP="00D92DCC">
            <w:pPr>
              <w:spacing w:before="60"/>
            </w:pPr>
            <w:r w:rsidRPr="00345AA8">
              <w:t>Answer</w:t>
            </w:r>
          </w:p>
        </w:tc>
        <w:tc>
          <w:tcPr>
            <w:tcW w:w="3561" w:type="pct"/>
          </w:tcPr>
          <w:p w:rsidR="00012F65" w:rsidRPr="00D01CC1" w:rsidRDefault="00012F65" w:rsidP="00D92DCC">
            <w:r w:rsidRPr="00D01CC1">
              <w:t>The budget covers all activities associated with implementation of the contract. This includes travel expenses for installation</w:t>
            </w:r>
          </w:p>
        </w:tc>
      </w:tr>
    </w:tbl>
    <w:p w:rsidR="00012F65" w:rsidRPr="00345AA8" w:rsidRDefault="00012F65" w:rsidP="00D6354D">
      <w:pPr>
        <w:jc w:val="left"/>
        <w:rPr>
          <w:b/>
          <w:highlight w:val="red"/>
        </w:rPr>
      </w:pPr>
    </w:p>
    <w:p w:rsidR="00012F65" w:rsidRPr="00345AA8" w:rsidRDefault="00012F65" w:rsidP="00D6354D">
      <w:pPr>
        <w:jc w:val="left"/>
      </w:pPr>
      <w:r w:rsidRPr="00345AA8">
        <w:t>Clarification 43: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012F65" w:rsidRPr="00345AA8" w:rsidTr="00D92DCC">
        <w:trPr>
          <w:jc w:val="center"/>
        </w:trPr>
        <w:tc>
          <w:tcPr>
            <w:tcW w:w="1439" w:type="pct"/>
            <w:shd w:val="clear" w:color="auto" w:fill="E0E0E0"/>
          </w:tcPr>
          <w:p w:rsidR="00012F65" w:rsidRPr="00345AA8" w:rsidRDefault="00012F65" w:rsidP="00D92DCC">
            <w:pPr>
              <w:spacing w:before="60"/>
            </w:pPr>
            <w:r w:rsidRPr="00345AA8">
              <w:t>Tenderer’s Question</w:t>
            </w:r>
          </w:p>
        </w:tc>
        <w:tc>
          <w:tcPr>
            <w:tcW w:w="3561" w:type="pct"/>
          </w:tcPr>
          <w:p w:rsidR="00012F65" w:rsidRPr="00345AA8" w:rsidRDefault="00012F65" w:rsidP="00D92DCC">
            <w:r w:rsidRPr="00345AA8">
              <w:rPr>
                <w:color w:val="282828"/>
              </w:rPr>
              <w:t>Does the tendering company have to purchase and supply the hardware listed?</w:t>
            </w:r>
          </w:p>
        </w:tc>
      </w:tr>
      <w:tr w:rsidR="00012F65" w:rsidRPr="00345AA8" w:rsidTr="00D92DCC">
        <w:trPr>
          <w:jc w:val="center"/>
        </w:trPr>
        <w:tc>
          <w:tcPr>
            <w:tcW w:w="1439" w:type="pct"/>
            <w:shd w:val="clear" w:color="auto" w:fill="E0E0E0"/>
          </w:tcPr>
          <w:p w:rsidR="00012F65" w:rsidRPr="00345AA8" w:rsidRDefault="00012F65" w:rsidP="00D92DCC">
            <w:pPr>
              <w:spacing w:before="60"/>
            </w:pPr>
            <w:r w:rsidRPr="00345AA8">
              <w:t>Answer</w:t>
            </w:r>
          </w:p>
        </w:tc>
        <w:tc>
          <w:tcPr>
            <w:tcW w:w="3561" w:type="pct"/>
          </w:tcPr>
          <w:p w:rsidR="00012F65" w:rsidRPr="00D01CC1" w:rsidRDefault="00012F65" w:rsidP="00D92DCC">
            <w:r w:rsidRPr="00D01CC1">
              <w:t>The tendering company has to supply the hardware listed in the lot(s) being offered by the tenderer</w:t>
            </w:r>
          </w:p>
        </w:tc>
      </w:tr>
    </w:tbl>
    <w:p w:rsidR="00012F65" w:rsidRPr="00345AA8" w:rsidRDefault="00012F65" w:rsidP="00D6354D">
      <w:pPr>
        <w:jc w:val="left"/>
        <w:rPr>
          <w:b/>
          <w:highlight w:val="red"/>
        </w:rPr>
      </w:pPr>
    </w:p>
    <w:p w:rsidR="00012F65" w:rsidRPr="00345AA8" w:rsidRDefault="00012F65" w:rsidP="00D6354D">
      <w:pPr>
        <w:jc w:val="left"/>
      </w:pPr>
      <w:r w:rsidRPr="00345AA8">
        <w:t xml:space="preserve">Clarification 44: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012F65" w:rsidRPr="00345AA8" w:rsidTr="00D92DCC">
        <w:trPr>
          <w:jc w:val="center"/>
        </w:trPr>
        <w:tc>
          <w:tcPr>
            <w:tcW w:w="1439" w:type="pct"/>
            <w:shd w:val="clear" w:color="auto" w:fill="E0E0E0"/>
          </w:tcPr>
          <w:p w:rsidR="00012F65" w:rsidRPr="00345AA8" w:rsidRDefault="00012F65" w:rsidP="00D92DCC">
            <w:pPr>
              <w:spacing w:before="60"/>
            </w:pPr>
            <w:r w:rsidRPr="00345AA8">
              <w:t>Tenderer’s Question</w:t>
            </w:r>
          </w:p>
        </w:tc>
        <w:tc>
          <w:tcPr>
            <w:tcW w:w="3561" w:type="pct"/>
          </w:tcPr>
          <w:p w:rsidR="00012F65" w:rsidRPr="00345AA8" w:rsidRDefault="00012F65" w:rsidP="00D92DCC">
            <w:r w:rsidRPr="00345AA8">
              <w:rPr>
                <w:color w:val="282828"/>
              </w:rPr>
              <w:t>If the tendering company chooses to tender for more than one lot, must it be done in different complete tender packages?</w:t>
            </w:r>
          </w:p>
        </w:tc>
      </w:tr>
      <w:tr w:rsidR="00012F65" w:rsidRPr="00345AA8" w:rsidTr="00D92DCC">
        <w:trPr>
          <w:jc w:val="center"/>
        </w:trPr>
        <w:tc>
          <w:tcPr>
            <w:tcW w:w="1439" w:type="pct"/>
            <w:shd w:val="clear" w:color="auto" w:fill="E0E0E0"/>
          </w:tcPr>
          <w:p w:rsidR="00012F65" w:rsidRPr="00345AA8" w:rsidRDefault="00012F65" w:rsidP="00D92DCC">
            <w:pPr>
              <w:spacing w:before="60"/>
            </w:pPr>
            <w:r w:rsidRPr="00345AA8">
              <w:t>Answer</w:t>
            </w:r>
          </w:p>
        </w:tc>
        <w:tc>
          <w:tcPr>
            <w:tcW w:w="3561" w:type="pct"/>
          </w:tcPr>
          <w:p w:rsidR="00012F65" w:rsidRPr="00D01CC1" w:rsidRDefault="00012F65" w:rsidP="00D92DCC">
            <w:r w:rsidRPr="00D01CC1">
              <w:t>Tenderers may submit tenders for one or more lots. Evaluation of the offers is carried out on a lot by lot basis. Technical and Financial offers per lot are expected. Documentation can consist of a single set of documents where more than one lot is offered</w:t>
            </w:r>
          </w:p>
        </w:tc>
      </w:tr>
    </w:tbl>
    <w:p w:rsidR="00012F65" w:rsidRPr="00345AA8" w:rsidRDefault="00012F65" w:rsidP="00D6354D">
      <w:pPr>
        <w:jc w:val="left"/>
      </w:pPr>
    </w:p>
    <w:p w:rsidR="00012F65" w:rsidRPr="00345AA8" w:rsidRDefault="00012F65" w:rsidP="00D6354D">
      <w:pPr>
        <w:jc w:val="left"/>
      </w:pPr>
    </w:p>
    <w:p w:rsidR="00012F65" w:rsidRPr="00345AA8" w:rsidRDefault="00012F65" w:rsidP="00D6354D">
      <w:pPr>
        <w:jc w:val="left"/>
      </w:pPr>
    </w:p>
    <w:p w:rsidR="00012F65" w:rsidRPr="00345AA8" w:rsidRDefault="00012F65" w:rsidP="00D6354D">
      <w:pPr>
        <w:jc w:val="left"/>
      </w:pPr>
      <w:r w:rsidRPr="00345AA8">
        <w:lastRenderedPageBreak/>
        <w:t>Clarification 45: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012F65" w:rsidRPr="00345AA8" w:rsidTr="00D92DCC">
        <w:trPr>
          <w:jc w:val="center"/>
        </w:trPr>
        <w:tc>
          <w:tcPr>
            <w:tcW w:w="1439" w:type="pct"/>
            <w:shd w:val="clear" w:color="auto" w:fill="E0E0E0"/>
          </w:tcPr>
          <w:p w:rsidR="00012F65" w:rsidRPr="00345AA8" w:rsidRDefault="00012F65" w:rsidP="00D92DCC">
            <w:pPr>
              <w:spacing w:before="60"/>
            </w:pPr>
            <w:r w:rsidRPr="00345AA8">
              <w:t>Tenderer’s Question</w:t>
            </w:r>
          </w:p>
        </w:tc>
        <w:tc>
          <w:tcPr>
            <w:tcW w:w="3561" w:type="pct"/>
          </w:tcPr>
          <w:p w:rsidR="00012F65" w:rsidRPr="00345AA8" w:rsidRDefault="00012F65" w:rsidP="00D92DCC">
            <w:r w:rsidRPr="00345AA8">
              <w:rPr>
                <w:color w:val="282828"/>
              </w:rPr>
              <w:t>W</w:t>
            </w:r>
            <w:r w:rsidRPr="00345AA8">
              <w:rPr>
                <w:lang w:eastAsia="el-GR"/>
              </w:rPr>
              <w:t>e understand that declarations from subcontractors are not required to be submitted as part of the proposal and that only upon request from the Contracting Authority such declarations shall be submitted. Please confirm</w:t>
            </w:r>
          </w:p>
        </w:tc>
      </w:tr>
      <w:tr w:rsidR="00012F65" w:rsidRPr="00345AA8" w:rsidTr="00D92DCC">
        <w:trPr>
          <w:jc w:val="center"/>
        </w:trPr>
        <w:tc>
          <w:tcPr>
            <w:tcW w:w="1439" w:type="pct"/>
            <w:shd w:val="clear" w:color="auto" w:fill="E0E0E0"/>
          </w:tcPr>
          <w:p w:rsidR="00012F65" w:rsidRPr="00345AA8" w:rsidRDefault="00012F65" w:rsidP="00D92DCC">
            <w:pPr>
              <w:spacing w:before="60"/>
            </w:pPr>
            <w:r w:rsidRPr="00345AA8">
              <w:t>Answer</w:t>
            </w:r>
          </w:p>
        </w:tc>
        <w:tc>
          <w:tcPr>
            <w:tcW w:w="3561" w:type="pct"/>
          </w:tcPr>
          <w:p w:rsidR="00012F65" w:rsidRPr="00D01CC1" w:rsidRDefault="00012F65" w:rsidP="00D92DCC">
            <w:r w:rsidRPr="00D01CC1">
              <w:rPr>
                <w:lang w:eastAsia="el-GR"/>
              </w:rPr>
              <w:t>We confirm that declarations from sub-contractors should be submitted when requested by the Contracting Authority</w:t>
            </w:r>
          </w:p>
        </w:tc>
      </w:tr>
    </w:tbl>
    <w:p w:rsidR="00012F65" w:rsidRPr="00345AA8" w:rsidRDefault="00012F65" w:rsidP="00D6354D">
      <w:pPr>
        <w:jc w:val="left"/>
      </w:pPr>
    </w:p>
    <w:p w:rsidR="00A754BB" w:rsidRPr="00345AA8" w:rsidRDefault="00012F65" w:rsidP="00D6354D">
      <w:pPr>
        <w:jc w:val="left"/>
      </w:pPr>
      <w:r w:rsidRPr="00345AA8">
        <w:t xml:space="preserve">Clarification 46: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012F65" w:rsidRPr="00345AA8" w:rsidTr="00D92DCC">
        <w:trPr>
          <w:jc w:val="center"/>
        </w:trPr>
        <w:tc>
          <w:tcPr>
            <w:tcW w:w="1439" w:type="pct"/>
            <w:shd w:val="clear" w:color="auto" w:fill="E0E0E0"/>
          </w:tcPr>
          <w:p w:rsidR="00012F65" w:rsidRPr="00345AA8" w:rsidRDefault="00012F65" w:rsidP="00D92DCC">
            <w:pPr>
              <w:spacing w:before="60"/>
            </w:pPr>
            <w:r w:rsidRPr="00345AA8">
              <w:t>Tenderer’s Question</w:t>
            </w:r>
          </w:p>
        </w:tc>
        <w:tc>
          <w:tcPr>
            <w:tcW w:w="3561" w:type="pct"/>
          </w:tcPr>
          <w:p w:rsidR="00012F65" w:rsidRPr="00345AA8" w:rsidRDefault="00012F65" w:rsidP="00D92DCC">
            <w:pPr>
              <w:spacing w:line="276" w:lineRule="auto"/>
              <w:rPr>
                <w:lang w:eastAsia="el-GR"/>
              </w:rPr>
            </w:pPr>
            <w:r w:rsidRPr="00345AA8">
              <w:rPr>
                <w:lang w:eastAsia="el-GR"/>
              </w:rPr>
              <w:t xml:space="preserve">We understand that the “details of the bank account” mentioned above refers to the provided “C 15 C- Financial Identity form.xls” document completed with the relevant information only once, even in the case of consortium bids. </w:t>
            </w:r>
          </w:p>
          <w:p w:rsidR="00012F65" w:rsidRPr="00345AA8" w:rsidRDefault="00012F65" w:rsidP="00D92DCC">
            <w:r w:rsidRPr="00345AA8">
              <w:rPr>
                <w:lang w:eastAsia="el-GR"/>
              </w:rPr>
              <w:t>Please confirm.</w:t>
            </w:r>
          </w:p>
        </w:tc>
      </w:tr>
      <w:tr w:rsidR="00012F65" w:rsidRPr="00345AA8" w:rsidTr="00D92DCC">
        <w:trPr>
          <w:jc w:val="center"/>
        </w:trPr>
        <w:tc>
          <w:tcPr>
            <w:tcW w:w="1439" w:type="pct"/>
            <w:shd w:val="clear" w:color="auto" w:fill="E0E0E0"/>
          </w:tcPr>
          <w:p w:rsidR="00012F65" w:rsidRPr="00345AA8" w:rsidRDefault="00012F65" w:rsidP="00D92DCC">
            <w:pPr>
              <w:spacing w:before="60"/>
            </w:pPr>
            <w:r w:rsidRPr="00345AA8">
              <w:t>Answer</w:t>
            </w:r>
          </w:p>
        </w:tc>
        <w:tc>
          <w:tcPr>
            <w:tcW w:w="3561" w:type="pct"/>
          </w:tcPr>
          <w:p w:rsidR="00012F65" w:rsidRPr="00D01CC1" w:rsidRDefault="00012F65" w:rsidP="00D92DCC">
            <w:r w:rsidRPr="00D01CC1">
              <w:rPr>
                <w:lang w:eastAsia="el-GR"/>
              </w:rPr>
              <w:t>We confirm that The Financial Identity form will be completed with the relevant information only by the designated and identified consortium leader. This is in accordance with section 18 Joint Venture or consortium</w:t>
            </w:r>
          </w:p>
        </w:tc>
      </w:tr>
    </w:tbl>
    <w:p w:rsidR="00012F65" w:rsidRPr="00345AA8" w:rsidRDefault="00012F65" w:rsidP="00D6354D">
      <w:pPr>
        <w:jc w:val="left"/>
      </w:pPr>
    </w:p>
    <w:p w:rsidR="00012F65" w:rsidRPr="00345AA8" w:rsidRDefault="00012F65" w:rsidP="00D6354D">
      <w:pPr>
        <w:jc w:val="left"/>
      </w:pPr>
      <w:r w:rsidRPr="00345AA8">
        <w:t>Clarification 47: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012F65" w:rsidRPr="00345AA8" w:rsidTr="00D92DCC">
        <w:trPr>
          <w:jc w:val="center"/>
        </w:trPr>
        <w:tc>
          <w:tcPr>
            <w:tcW w:w="1439" w:type="pct"/>
            <w:shd w:val="clear" w:color="auto" w:fill="E0E0E0"/>
          </w:tcPr>
          <w:p w:rsidR="00012F65" w:rsidRPr="00345AA8" w:rsidRDefault="00012F65" w:rsidP="00D92DCC">
            <w:pPr>
              <w:spacing w:before="60"/>
            </w:pPr>
            <w:r w:rsidRPr="00345AA8">
              <w:t>Tenderer’s Question</w:t>
            </w:r>
          </w:p>
        </w:tc>
        <w:tc>
          <w:tcPr>
            <w:tcW w:w="3561" w:type="pct"/>
          </w:tcPr>
          <w:p w:rsidR="00012F65" w:rsidRPr="00345AA8" w:rsidRDefault="00012F65" w:rsidP="00D92DCC">
            <w:r w:rsidRPr="00345AA8">
              <w:rPr>
                <w:lang w:eastAsia="el-GR"/>
              </w:rPr>
              <w:t>We understand that the “legal entity file” mentioned above refers to the provided “C  15 B - Legal Identity form.xls” document, which in case of a consortium bid it must be completed by each consortium member with the relevant information as applicable in the corresponding country of origin. Please confirm.</w:t>
            </w:r>
          </w:p>
        </w:tc>
      </w:tr>
      <w:tr w:rsidR="00012F65" w:rsidRPr="00345AA8" w:rsidTr="00D92DCC">
        <w:trPr>
          <w:jc w:val="center"/>
        </w:trPr>
        <w:tc>
          <w:tcPr>
            <w:tcW w:w="1439" w:type="pct"/>
            <w:shd w:val="clear" w:color="auto" w:fill="E0E0E0"/>
          </w:tcPr>
          <w:p w:rsidR="00012F65" w:rsidRPr="00345AA8" w:rsidRDefault="00012F65" w:rsidP="00D92DCC">
            <w:pPr>
              <w:spacing w:before="60"/>
            </w:pPr>
            <w:r w:rsidRPr="00345AA8">
              <w:t>Answer</w:t>
            </w:r>
          </w:p>
        </w:tc>
        <w:tc>
          <w:tcPr>
            <w:tcW w:w="3561" w:type="pct"/>
          </w:tcPr>
          <w:p w:rsidR="00012F65" w:rsidRPr="00D01CC1" w:rsidRDefault="00012F65" w:rsidP="00D92DCC">
            <w:r w:rsidRPr="00D01CC1">
              <w:rPr>
                <w:lang w:eastAsia="el-GR"/>
              </w:rPr>
              <w:t>We confirm that The Legal entity file will be completed with the relevant information only by the designated and identified consortium leader. This is in accordance with section 18 Joint Venture or consortium</w:t>
            </w:r>
          </w:p>
        </w:tc>
      </w:tr>
    </w:tbl>
    <w:p w:rsidR="00012F65" w:rsidRPr="00345AA8" w:rsidRDefault="00012F65" w:rsidP="00D6354D">
      <w:pPr>
        <w:jc w:val="left"/>
      </w:pPr>
    </w:p>
    <w:p w:rsidR="00012F65" w:rsidRPr="00345AA8" w:rsidRDefault="00012F65" w:rsidP="00D6354D">
      <w:pPr>
        <w:jc w:val="left"/>
      </w:pPr>
      <w:r w:rsidRPr="00345AA8">
        <w:t>Clarification 48:</w:t>
      </w: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6486"/>
      </w:tblGrid>
      <w:tr w:rsidR="00012F65" w:rsidRPr="00345AA8" w:rsidTr="00D92DCC">
        <w:trPr>
          <w:trHeight w:val="518"/>
          <w:jc w:val="center"/>
        </w:trPr>
        <w:tc>
          <w:tcPr>
            <w:tcW w:w="1588" w:type="pct"/>
            <w:shd w:val="clear" w:color="auto" w:fill="E0E0E0"/>
          </w:tcPr>
          <w:p w:rsidR="00012F65" w:rsidRPr="00345AA8" w:rsidRDefault="00012F65" w:rsidP="00D92DCC">
            <w:pPr>
              <w:spacing w:before="60"/>
            </w:pPr>
            <w:r w:rsidRPr="00345AA8">
              <w:t>Document/Section/Page Reference</w:t>
            </w:r>
          </w:p>
        </w:tc>
        <w:tc>
          <w:tcPr>
            <w:tcW w:w="3412" w:type="pct"/>
          </w:tcPr>
          <w:p w:rsidR="00012F65" w:rsidRPr="00345AA8" w:rsidRDefault="00012F65" w:rsidP="00D92DCC">
            <w:pPr>
              <w:spacing w:before="60"/>
            </w:pPr>
            <w:r w:rsidRPr="00345AA8">
              <w:t>Instructions to Tenderers Equipment Final/Section 10/p.18</w:t>
            </w:r>
          </w:p>
        </w:tc>
      </w:tr>
      <w:tr w:rsidR="00012F65" w:rsidRPr="00345AA8" w:rsidTr="00D92DCC">
        <w:trPr>
          <w:trHeight w:val="303"/>
          <w:jc w:val="center"/>
        </w:trPr>
        <w:tc>
          <w:tcPr>
            <w:tcW w:w="1588" w:type="pct"/>
            <w:shd w:val="clear" w:color="auto" w:fill="E0E0E0"/>
          </w:tcPr>
          <w:p w:rsidR="00012F65" w:rsidRPr="00345AA8" w:rsidRDefault="00012F65" w:rsidP="00D92DCC">
            <w:pPr>
              <w:spacing w:before="60"/>
            </w:pPr>
            <w:r w:rsidRPr="00345AA8">
              <w:t>Topic in Document</w:t>
            </w:r>
          </w:p>
        </w:tc>
        <w:tc>
          <w:tcPr>
            <w:tcW w:w="3412" w:type="pct"/>
          </w:tcPr>
          <w:p w:rsidR="00012F65" w:rsidRPr="00345AA8" w:rsidRDefault="00012F65" w:rsidP="00D92DCC">
            <w:pPr>
              <w:spacing w:before="60"/>
            </w:pPr>
            <w:r w:rsidRPr="00345AA8">
              <w:t>Submission of Tenders</w:t>
            </w:r>
          </w:p>
        </w:tc>
      </w:tr>
      <w:tr w:rsidR="00012F65" w:rsidRPr="00345AA8" w:rsidTr="00D92DCC">
        <w:trPr>
          <w:trHeight w:val="211"/>
          <w:jc w:val="center"/>
        </w:trPr>
        <w:tc>
          <w:tcPr>
            <w:tcW w:w="1588" w:type="pct"/>
            <w:shd w:val="clear" w:color="auto" w:fill="E0E0E0"/>
          </w:tcPr>
          <w:p w:rsidR="00012F65" w:rsidRPr="00345AA8" w:rsidRDefault="00012F65" w:rsidP="00D92DCC">
            <w:pPr>
              <w:spacing w:before="60"/>
            </w:pPr>
            <w:r w:rsidRPr="00345AA8">
              <w:t>Passage in Document</w:t>
            </w:r>
          </w:p>
        </w:tc>
        <w:tc>
          <w:tcPr>
            <w:tcW w:w="3412" w:type="pct"/>
          </w:tcPr>
          <w:p w:rsidR="00012F65" w:rsidRPr="00345AA8" w:rsidRDefault="00012F65" w:rsidP="00D92DCC">
            <w:pPr>
              <w:spacing w:before="60"/>
              <w:rPr>
                <w:i/>
              </w:rPr>
            </w:pPr>
            <w:r w:rsidRPr="00345AA8">
              <w:rPr>
                <w:i/>
              </w:rPr>
              <w:t>To be supplied in free-text format:</w:t>
            </w:r>
          </w:p>
          <w:p w:rsidR="00012F65" w:rsidRPr="00345AA8" w:rsidRDefault="00012F65" w:rsidP="00012F65">
            <w:pPr>
              <w:numPr>
                <w:ilvl w:val="0"/>
                <w:numId w:val="25"/>
              </w:numPr>
              <w:spacing w:before="60"/>
              <w:rPr>
                <w:i/>
              </w:rPr>
            </w:pPr>
            <w:r w:rsidRPr="00345AA8">
              <w:rPr>
                <w:i/>
              </w:rPr>
              <w:t>A description of the warranty conditions, which must be in accordance with the conditions laid down in Article 32 of the General Conditions</w:t>
            </w:r>
            <w:r w:rsidRPr="00345AA8">
              <w:rPr>
                <w:i/>
                <w:u w:val="single"/>
              </w:rPr>
              <w:t>.</w:t>
            </w:r>
          </w:p>
          <w:p w:rsidR="00012F65" w:rsidRPr="00345AA8" w:rsidRDefault="00012F65" w:rsidP="00012F65">
            <w:pPr>
              <w:numPr>
                <w:ilvl w:val="0"/>
                <w:numId w:val="25"/>
              </w:numPr>
              <w:spacing w:before="60"/>
              <w:rPr>
                <w:i/>
              </w:rPr>
            </w:pPr>
            <w:r w:rsidRPr="00345AA8">
              <w:rPr>
                <w:i/>
              </w:rPr>
              <w:t>A description of the organisation of the commercial warranty tendered in accordance with the conditions laid down in Article 32 of the Special Conditions</w:t>
            </w:r>
          </w:p>
          <w:p w:rsidR="00012F65" w:rsidRPr="00345AA8" w:rsidRDefault="00012F65" w:rsidP="00012F65">
            <w:pPr>
              <w:numPr>
                <w:ilvl w:val="0"/>
                <w:numId w:val="25"/>
              </w:numPr>
              <w:spacing w:before="60"/>
              <w:rPr>
                <w:b/>
                <w:i/>
              </w:rPr>
            </w:pPr>
            <w:r w:rsidRPr="00345AA8">
              <w:rPr>
                <w:b/>
                <w:i/>
              </w:rPr>
              <w:t>Duly authorised signature: an official document (statutes, power of attorney, notary statement, etc.) proving that the person who signs on behalf of the company/joint venture/consortium is duly authorised to do so.</w:t>
            </w:r>
          </w:p>
          <w:p w:rsidR="00012F65" w:rsidRPr="00345AA8" w:rsidRDefault="00012F65" w:rsidP="00012F65">
            <w:pPr>
              <w:numPr>
                <w:ilvl w:val="0"/>
                <w:numId w:val="25"/>
              </w:numPr>
              <w:spacing w:before="60"/>
              <w:rPr>
                <w:i/>
              </w:rPr>
            </w:pPr>
            <w:r w:rsidRPr="00345AA8">
              <w:rPr>
                <w:i/>
              </w:rPr>
              <w:t>A statement by the tenderer attesting the origin of the supplies tendered (or other proofs of origin).</w:t>
            </w:r>
          </w:p>
          <w:p w:rsidR="00012F65" w:rsidRPr="00345AA8" w:rsidRDefault="00012F65" w:rsidP="00012F65">
            <w:pPr>
              <w:numPr>
                <w:ilvl w:val="0"/>
                <w:numId w:val="25"/>
              </w:numPr>
              <w:spacing w:before="60"/>
              <w:rPr>
                <w:b/>
                <w:i/>
              </w:rPr>
            </w:pPr>
            <w:r w:rsidRPr="00345AA8">
              <w:rPr>
                <w:b/>
                <w:i/>
              </w:rPr>
              <w:t xml:space="preserve">Duly authorised signature: an official document (statutes, power of attorney, notary statement, etc.) proving that the person who signs on behalf of the </w:t>
            </w:r>
            <w:r w:rsidRPr="00345AA8">
              <w:rPr>
                <w:b/>
                <w:i/>
              </w:rPr>
              <w:lastRenderedPageBreak/>
              <w:t>company, joint venture or consortium is duly authorised to do so.</w:t>
            </w:r>
          </w:p>
          <w:p w:rsidR="00012F65" w:rsidRPr="00345AA8" w:rsidRDefault="00012F65" w:rsidP="00012F65">
            <w:pPr>
              <w:numPr>
                <w:ilvl w:val="0"/>
                <w:numId w:val="25"/>
              </w:numPr>
              <w:spacing w:before="60"/>
              <w:rPr>
                <w:i/>
              </w:rPr>
            </w:pPr>
            <w:r w:rsidRPr="00345AA8">
              <w:rPr>
                <w:i/>
              </w:rPr>
              <w:t>Manufacturer’s Authorizations for Equipment offered.</w:t>
            </w:r>
          </w:p>
          <w:p w:rsidR="00012F65" w:rsidRPr="00345AA8" w:rsidRDefault="00012F65" w:rsidP="00012F65">
            <w:pPr>
              <w:numPr>
                <w:ilvl w:val="0"/>
                <w:numId w:val="25"/>
              </w:numPr>
              <w:spacing w:before="60"/>
              <w:rPr>
                <w:i/>
              </w:rPr>
            </w:pPr>
            <w:r w:rsidRPr="00345AA8">
              <w:rPr>
                <w:i/>
              </w:rPr>
              <w:t>Audited financial statements for the past 3 years in support of point 3 of the Tender Form</w:t>
            </w:r>
          </w:p>
        </w:tc>
      </w:tr>
      <w:tr w:rsidR="00012F65" w:rsidRPr="00345AA8" w:rsidTr="00D92DCC">
        <w:trPr>
          <w:trHeight w:val="923"/>
          <w:jc w:val="center"/>
        </w:trPr>
        <w:tc>
          <w:tcPr>
            <w:tcW w:w="1588" w:type="pct"/>
            <w:shd w:val="clear" w:color="auto" w:fill="E0E0E0"/>
          </w:tcPr>
          <w:p w:rsidR="00012F65" w:rsidRPr="00345AA8" w:rsidRDefault="00012F65" w:rsidP="00D92DCC">
            <w:pPr>
              <w:spacing w:before="60"/>
            </w:pPr>
            <w:r w:rsidRPr="00345AA8">
              <w:lastRenderedPageBreak/>
              <w:t>Tenderer’s Question</w:t>
            </w:r>
          </w:p>
        </w:tc>
        <w:tc>
          <w:tcPr>
            <w:tcW w:w="3412" w:type="pct"/>
          </w:tcPr>
          <w:p w:rsidR="00012F65" w:rsidRPr="00345AA8" w:rsidRDefault="00012F65" w:rsidP="00D92DCC">
            <w:r w:rsidRPr="00345AA8">
              <w:t xml:space="preserve">We understand that the third and fifth bullet (highlighted in </w:t>
            </w:r>
            <w:r w:rsidRPr="00345AA8">
              <w:rPr>
                <w:b/>
              </w:rPr>
              <w:t xml:space="preserve">bold </w:t>
            </w:r>
            <w:r w:rsidRPr="00345AA8">
              <w:t xml:space="preserve">typeface) refer to exactly the same item and consequently need to be submitted only once for each member of the consortium. </w:t>
            </w:r>
          </w:p>
          <w:p w:rsidR="00012F65" w:rsidRPr="00345AA8" w:rsidRDefault="00012F65" w:rsidP="00D92DCC">
            <w:r w:rsidRPr="00345AA8">
              <w:t>Please confirm or clarify if otherwise.</w:t>
            </w:r>
          </w:p>
        </w:tc>
      </w:tr>
      <w:tr w:rsidR="00012F65" w:rsidRPr="00345AA8" w:rsidTr="00D92DCC">
        <w:trPr>
          <w:trHeight w:val="923"/>
          <w:jc w:val="center"/>
        </w:trPr>
        <w:tc>
          <w:tcPr>
            <w:tcW w:w="1588" w:type="pct"/>
            <w:shd w:val="clear" w:color="auto" w:fill="E0E0E0"/>
          </w:tcPr>
          <w:p w:rsidR="00012F65" w:rsidRPr="00345AA8" w:rsidRDefault="00012F65" w:rsidP="00D92DCC">
            <w:pPr>
              <w:spacing w:before="60"/>
            </w:pPr>
            <w:r w:rsidRPr="00345AA8">
              <w:t>Answer</w:t>
            </w:r>
          </w:p>
        </w:tc>
        <w:tc>
          <w:tcPr>
            <w:tcW w:w="3412" w:type="pct"/>
          </w:tcPr>
          <w:p w:rsidR="00012F65" w:rsidRPr="00D01CC1" w:rsidRDefault="00012F65" w:rsidP="00D92DCC">
            <w:pPr>
              <w:spacing w:line="276" w:lineRule="auto"/>
              <w:rPr>
                <w:lang w:eastAsia="el-GR"/>
              </w:rPr>
            </w:pPr>
            <w:r w:rsidRPr="00D01CC1">
              <w:rPr>
                <w:lang w:eastAsia="el-GR"/>
              </w:rPr>
              <w:t>We confirm that the duly authorized signature will need to be submitted once for each member of the consortium. Please see corrigendum to the Instructions to tenderers</w:t>
            </w:r>
          </w:p>
          <w:p w:rsidR="00012F65" w:rsidRPr="00345AA8" w:rsidRDefault="00012F65" w:rsidP="00D92DCC"/>
        </w:tc>
      </w:tr>
    </w:tbl>
    <w:p w:rsidR="00012F65" w:rsidRPr="00345AA8" w:rsidRDefault="00012F65" w:rsidP="00D6354D">
      <w:pPr>
        <w:jc w:val="left"/>
      </w:pPr>
    </w:p>
    <w:p w:rsidR="00012F65" w:rsidRPr="00345AA8" w:rsidRDefault="00012F65" w:rsidP="00D6354D">
      <w:pPr>
        <w:jc w:val="left"/>
      </w:pPr>
      <w:r w:rsidRPr="00345AA8">
        <w:t xml:space="preserve">Clarification 49: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012F65" w:rsidRPr="00345AA8" w:rsidTr="00D92DCC">
        <w:trPr>
          <w:jc w:val="center"/>
        </w:trPr>
        <w:tc>
          <w:tcPr>
            <w:tcW w:w="1439" w:type="pct"/>
            <w:shd w:val="clear" w:color="auto" w:fill="E0E0E0"/>
          </w:tcPr>
          <w:p w:rsidR="00012F65" w:rsidRPr="00345AA8" w:rsidRDefault="00012F65" w:rsidP="00D92DCC">
            <w:pPr>
              <w:spacing w:before="60"/>
            </w:pPr>
            <w:r w:rsidRPr="00345AA8">
              <w:t>Tenderer’s Question</w:t>
            </w:r>
          </w:p>
        </w:tc>
        <w:tc>
          <w:tcPr>
            <w:tcW w:w="3561" w:type="pct"/>
          </w:tcPr>
          <w:p w:rsidR="00012F65" w:rsidRPr="00345AA8" w:rsidRDefault="00012F65" w:rsidP="00D92DCC">
            <w:pPr>
              <w:spacing w:line="276" w:lineRule="auto"/>
              <w:rPr>
                <w:lang w:eastAsia="el-GR"/>
              </w:rPr>
            </w:pPr>
            <w:r w:rsidRPr="00345AA8">
              <w:rPr>
                <w:lang w:eastAsia="el-GR"/>
              </w:rPr>
              <w:t xml:space="preserve">The average annual turnover of the tenderer must exceed the annualised maximum budget of the contract; </w:t>
            </w:r>
          </w:p>
          <w:p w:rsidR="00012F65" w:rsidRPr="00345AA8" w:rsidRDefault="00012F65" w:rsidP="00D92DCC">
            <w:pPr>
              <w:spacing w:line="276" w:lineRule="auto"/>
              <w:rPr>
                <w:lang w:eastAsia="el-GR"/>
              </w:rPr>
            </w:pPr>
            <w:r w:rsidRPr="00345AA8">
              <w:rPr>
                <w:lang w:eastAsia="el-GR"/>
              </w:rPr>
              <w:t xml:space="preserve">The criterion quoted above connects the bidder’s average annual turnover with the annualised maximum budget of the contract; however, the CA has not specified what the maximum budget of the contract is. </w:t>
            </w:r>
          </w:p>
          <w:p w:rsidR="00012F65" w:rsidRPr="00345AA8" w:rsidRDefault="00012F65" w:rsidP="00D92DCC">
            <w:pPr>
              <w:spacing w:line="276" w:lineRule="auto"/>
              <w:rPr>
                <w:lang w:eastAsia="el-GR"/>
              </w:rPr>
            </w:pPr>
            <w:r w:rsidRPr="00345AA8">
              <w:rPr>
                <w:lang w:eastAsia="el-GR"/>
              </w:rPr>
              <w:t>Please specify the maximum budget of the contract.</w:t>
            </w:r>
          </w:p>
          <w:p w:rsidR="00012F65" w:rsidRPr="00345AA8" w:rsidRDefault="00012F65" w:rsidP="00D92DCC"/>
        </w:tc>
      </w:tr>
      <w:tr w:rsidR="00012F65" w:rsidRPr="00345AA8" w:rsidTr="00D92DCC">
        <w:trPr>
          <w:jc w:val="center"/>
        </w:trPr>
        <w:tc>
          <w:tcPr>
            <w:tcW w:w="1439" w:type="pct"/>
            <w:shd w:val="clear" w:color="auto" w:fill="E0E0E0"/>
          </w:tcPr>
          <w:p w:rsidR="00012F65" w:rsidRPr="00345AA8" w:rsidRDefault="00012F65" w:rsidP="00D92DCC">
            <w:pPr>
              <w:spacing w:before="60"/>
            </w:pPr>
            <w:r w:rsidRPr="00345AA8">
              <w:t>Answer</w:t>
            </w:r>
          </w:p>
        </w:tc>
        <w:tc>
          <w:tcPr>
            <w:tcW w:w="3561" w:type="pct"/>
          </w:tcPr>
          <w:p w:rsidR="00012F65" w:rsidRPr="00D01CC1" w:rsidRDefault="00012F65" w:rsidP="00D92DCC">
            <w:pPr>
              <w:spacing w:line="276" w:lineRule="auto"/>
              <w:rPr>
                <w:lang w:eastAsia="el-GR"/>
              </w:rPr>
            </w:pPr>
            <w:r w:rsidRPr="00D01CC1">
              <w:rPr>
                <w:lang w:eastAsia="el-GR"/>
              </w:rPr>
              <w:t>The maximum budget of the contract is not disclosed in this tender procedure</w:t>
            </w:r>
          </w:p>
          <w:p w:rsidR="00012F65" w:rsidRPr="00345AA8" w:rsidRDefault="00012F65" w:rsidP="00D92DCC"/>
        </w:tc>
      </w:tr>
    </w:tbl>
    <w:p w:rsidR="00012F65" w:rsidRPr="00345AA8" w:rsidRDefault="00012F65" w:rsidP="00D6354D">
      <w:pPr>
        <w:jc w:val="left"/>
      </w:pPr>
    </w:p>
    <w:p w:rsidR="00012F65" w:rsidRPr="00345AA8" w:rsidRDefault="00012F65" w:rsidP="00D6354D">
      <w:pPr>
        <w:jc w:val="left"/>
      </w:pPr>
      <w:r w:rsidRPr="00345AA8">
        <w:t xml:space="preserve">Clarification 50: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012F65" w:rsidRPr="00345AA8" w:rsidTr="00D92DCC">
        <w:trPr>
          <w:jc w:val="center"/>
        </w:trPr>
        <w:tc>
          <w:tcPr>
            <w:tcW w:w="1439" w:type="pct"/>
            <w:shd w:val="clear" w:color="auto" w:fill="E0E0E0"/>
          </w:tcPr>
          <w:p w:rsidR="00012F65" w:rsidRPr="00345AA8" w:rsidRDefault="00012F65" w:rsidP="00D92DCC">
            <w:pPr>
              <w:spacing w:before="60"/>
            </w:pPr>
            <w:r w:rsidRPr="00345AA8">
              <w:t>Tenderer’s Question</w:t>
            </w:r>
          </w:p>
        </w:tc>
        <w:tc>
          <w:tcPr>
            <w:tcW w:w="3561" w:type="pct"/>
          </w:tcPr>
          <w:p w:rsidR="00012F65" w:rsidRPr="00345AA8" w:rsidRDefault="00012F65" w:rsidP="00D92DCC">
            <w:pPr>
              <w:spacing w:line="276" w:lineRule="auto"/>
              <w:rPr>
                <w:lang w:eastAsia="el-GR"/>
              </w:rPr>
            </w:pPr>
            <w:r w:rsidRPr="00345AA8">
              <w:rPr>
                <w:lang w:eastAsia="el-GR"/>
              </w:rPr>
              <w:t>In line with the international public procurement practice, selection criteria are established to reduce the risk for the Contracting Authority (CA) to award a contract to a bidder that is unable to actually perform the offered service as evidenced from its past experience, financial status, etc.</w:t>
            </w:r>
          </w:p>
          <w:p w:rsidR="00012F65" w:rsidRPr="00345AA8" w:rsidRDefault="00012F65" w:rsidP="00D92DCC">
            <w:pPr>
              <w:spacing w:line="276" w:lineRule="auto"/>
              <w:rPr>
                <w:lang w:eastAsia="el-GR"/>
              </w:rPr>
            </w:pPr>
            <w:r w:rsidRPr="00345AA8">
              <w:rPr>
                <w:lang w:eastAsia="el-GR"/>
              </w:rPr>
              <w:t>If the threshold is not the same for all bidders, (e.g., it depends on the financial proposal of each bidder), then competition will be distorted and the CA risks awarding the contract to an unsustainable solution.</w:t>
            </w:r>
          </w:p>
          <w:p w:rsidR="00012F65" w:rsidRPr="00345AA8" w:rsidRDefault="00012F65" w:rsidP="00D92DCC">
            <w:pPr>
              <w:spacing w:line="276" w:lineRule="auto"/>
              <w:rPr>
                <w:lang w:eastAsia="el-GR"/>
              </w:rPr>
            </w:pPr>
            <w:r w:rsidRPr="00345AA8">
              <w:rPr>
                <w:lang w:eastAsia="el-GR"/>
              </w:rPr>
              <w:t>Please provide the average annual turnover threshold to be met. This should be a fixed amount, which should be the same for all bidders.</w:t>
            </w:r>
          </w:p>
          <w:p w:rsidR="00012F65" w:rsidRPr="00345AA8" w:rsidRDefault="00012F65" w:rsidP="00D92DCC"/>
        </w:tc>
      </w:tr>
      <w:tr w:rsidR="00012F65" w:rsidRPr="00345AA8" w:rsidTr="00D92DCC">
        <w:trPr>
          <w:jc w:val="center"/>
        </w:trPr>
        <w:tc>
          <w:tcPr>
            <w:tcW w:w="1439" w:type="pct"/>
            <w:shd w:val="clear" w:color="auto" w:fill="E0E0E0"/>
          </w:tcPr>
          <w:p w:rsidR="00012F65" w:rsidRPr="00345AA8" w:rsidRDefault="00012F65" w:rsidP="00D92DCC">
            <w:pPr>
              <w:spacing w:before="60"/>
            </w:pPr>
            <w:r w:rsidRPr="00345AA8">
              <w:t>Answer</w:t>
            </w:r>
          </w:p>
        </w:tc>
        <w:tc>
          <w:tcPr>
            <w:tcW w:w="3561" w:type="pct"/>
          </w:tcPr>
          <w:p w:rsidR="00012F65" w:rsidRPr="00D01CC1" w:rsidRDefault="00012F65" w:rsidP="00D92DCC">
            <w:pPr>
              <w:spacing w:line="276" w:lineRule="auto"/>
              <w:rPr>
                <w:lang w:eastAsia="el-GR"/>
              </w:rPr>
            </w:pPr>
            <w:r w:rsidRPr="00D01CC1">
              <w:rPr>
                <w:lang w:eastAsia="el-GR"/>
              </w:rPr>
              <w:t>In a tender procedure such as this, divided into lots,</w:t>
            </w:r>
            <w:r w:rsidR="003951E2" w:rsidRPr="00D01CC1">
              <w:rPr>
                <w:lang w:eastAsia="el-GR"/>
              </w:rPr>
              <w:t xml:space="preserve"> each lot will be assessed separately. T</w:t>
            </w:r>
            <w:r w:rsidRPr="00D01CC1">
              <w:rPr>
                <w:lang w:eastAsia="el-GR"/>
              </w:rPr>
              <w:t>he maximum budget of the contract will depend upon the</w:t>
            </w:r>
            <w:r w:rsidR="003951E2" w:rsidRPr="00D01CC1">
              <w:rPr>
                <w:lang w:eastAsia="el-GR"/>
              </w:rPr>
              <w:t xml:space="preserve"> estimated value of each lot, which is not disclosed. </w:t>
            </w:r>
            <w:r w:rsidRPr="00D01CC1">
              <w:rPr>
                <w:lang w:eastAsia="el-GR"/>
              </w:rPr>
              <w:t xml:space="preserve">  It will be possible for a tenderer to bid for one or more lots and to be awarded one or more lots. The maximum</w:t>
            </w:r>
            <w:r w:rsidR="00EB44A3" w:rsidRPr="00D01CC1">
              <w:rPr>
                <w:lang w:eastAsia="el-GR"/>
              </w:rPr>
              <w:t xml:space="preserve"> value of the contract will depend on the number of lots awarded.</w:t>
            </w:r>
            <w:r w:rsidRPr="00D01CC1">
              <w:rPr>
                <w:lang w:eastAsia="el-GR"/>
              </w:rPr>
              <w:t xml:space="preserve"> Consequently the average annual turnover </w:t>
            </w:r>
            <w:r w:rsidR="00247B38" w:rsidRPr="00D01CC1">
              <w:rPr>
                <w:lang w:eastAsia="el-GR"/>
              </w:rPr>
              <w:t xml:space="preserve">is not </w:t>
            </w:r>
            <w:r w:rsidRPr="00D01CC1">
              <w:rPr>
                <w:lang w:eastAsia="el-GR"/>
              </w:rPr>
              <w:t>provided.</w:t>
            </w:r>
          </w:p>
          <w:p w:rsidR="00012F65" w:rsidRPr="00345AA8" w:rsidRDefault="00012F65" w:rsidP="00D92DCC"/>
        </w:tc>
      </w:tr>
    </w:tbl>
    <w:p w:rsidR="00012F65" w:rsidRPr="00345AA8" w:rsidRDefault="00012F65" w:rsidP="00D6354D">
      <w:pPr>
        <w:jc w:val="left"/>
      </w:pPr>
    </w:p>
    <w:p w:rsidR="00012F65" w:rsidRPr="00345AA8" w:rsidRDefault="00012F65" w:rsidP="00D6354D">
      <w:pPr>
        <w:jc w:val="left"/>
      </w:pPr>
      <w:r w:rsidRPr="00345AA8">
        <w:t>Clarification 51: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012F65" w:rsidRPr="00345AA8" w:rsidTr="00D92DCC">
        <w:trPr>
          <w:jc w:val="center"/>
        </w:trPr>
        <w:tc>
          <w:tcPr>
            <w:tcW w:w="1439" w:type="pct"/>
            <w:shd w:val="clear" w:color="auto" w:fill="E0E0E0"/>
          </w:tcPr>
          <w:p w:rsidR="00012F65" w:rsidRPr="00345AA8" w:rsidRDefault="00012F65" w:rsidP="00D92DCC">
            <w:pPr>
              <w:spacing w:before="60"/>
            </w:pPr>
            <w:r w:rsidRPr="00345AA8">
              <w:lastRenderedPageBreak/>
              <w:t>Tenderer’s Question</w:t>
            </w:r>
          </w:p>
        </w:tc>
        <w:tc>
          <w:tcPr>
            <w:tcW w:w="3561" w:type="pct"/>
          </w:tcPr>
          <w:p w:rsidR="00012F65" w:rsidRPr="00345AA8" w:rsidRDefault="00012F65" w:rsidP="00D92DCC">
            <w:r w:rsidRPr="00345AA8">
              <w:t>We understand that technical and financial offer for each Lot (namely: ‘Part 1 – Technical offer’, ‘Part 2: Financial offer’ and ‘Part 3: Documentation’, as described in paragraph ‘Content of tenders’) have to be submitted all together in the same dossier/ring binder and not separately.</w:t>
            </w:r>
          </w:p>
        </w:tc>
      </w:tr>
      <w:tr w:rsidR="00012F65" w:rsidRPr="00345AA8" w:rsidTr="00D92DCC">
        <w:trPr>
          <w:jc w:val="center"/>
        </w:trPr>
        <w:tc>
          <w:tcPr>
            <w:tcW w:w="1439" w:type="pct"/>
            <w:shd w:val="clear" w:color="auto" w:fill="E0E0E0"/>
          </w:tcPr>
          <w:p w:rsidR="00012F65" w:rsidRPr="00345AA8" w:rsidRDefault="00012F65" w:rsidP="00D92DCC">
            <w:pPr>
              <w:spacing w:before="60"/>
            </w:pPr>
            <w:r w:rsidRPr="00345AA8">
              <w:t>Answer</w:t>
            </w:r>
          </w:p>
        </w:tc>
        <w:tc>
          <w:tcPr>
            <w:tcW w:w="3561" w:type="pct"/>
          </w:tcPr>
          <w:p w:rsidR="00012F65" w:rsidRPr="00D01CC1" w:rsidRDefault="00012F65" w:rsidP="00D92DCC">
            <w:pPr>
              <w:spacing w:line="276" w:lineRule="auto"/>
              <w:rPr>
                <w:lang w:eastAsia="el-GR"/>
              </w:rPr>
            </w:pPr>
            <w:r w:rsidRPr="00D01CC1">
              <w:rPr>
                <w:lang w:eastAsia="el-GR"/>
              </w:rPr>
              <w:t>The Technical and Financial offer should be submitted together in the same envelope as per Section 11 of the Instructions to Tenderers; Content of tenders</w:t>
            </w:r>
          </w:p>
          <w:p w:rsidR="00012F65" w:rsidRPr="00345AA8" w:rsidRDefault="00012F65" w:rsidP="00D92DCC"/>
        </w:tc>
      </w:tr>
    </w:tbl>
    <w:p w:rsidR="00012F65" w:rsidRPr="00345AA8" w:rsidRDefault="00012F65" w:rsidP="00D6354D">
      <w:pPr>
        <w:jc w:val="left"/>
      </w:pPr>
    </w:p>
    <w:p w:rsidR="00012F65" w:rsidRPr="00345AA8" w:rsidRDefault="00012F65" w:rsidP="00D6354D">
      <w:pPr>
        <w:jc w:val="left"/>
      </w:pPr>
      <w:r w:rsidRPr="00345AA8">
        <w:t>Clarification 52: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012F65" w:rsidRPr="00345AA8" w:rsidTr="00D92DCC">
        <w:trPr>
          <w:jc w:val="center"/>
        </w:trPr>
        <w:tc>
          <w:tcPr>
            <w:tcW w:w="1439" w:type="pct"/>
            <w:shd w:val="clear" w:color="auto" w:fill="E0E0E0"/>
          </w:tcPr>
          <w:p w:rsidR="00012F65" w:rsidRPr="00345AA8" w:rsidRDefault="00012F65" w:rsidP="00D92DCC">
            <w:pPr>
              <w:spacing w:before="60"/>
            </w:pPr>
            <w:r w:rsidRPr="00345AA8">
              <w:t>Tenderer’s Question</w:t>
            </w:r>
          </w:p>
        </w:tc>
        <w:tc>
          <w:tcPr>
            <w:tcW w:w="3561" w:type="pct"/>
          </w:tcPr>
          <w:p w:rsidR="00012F65" w:rsidRPr="00345AA8" w:rsidRDefault="00012F65" w:rsidP="00D92DCC">
            <w:r w:rsidRPr="00345AA8">
              <w:rPr>
                <w:lang w:eastAsia="el-GR"/>
              </w:rPr>
              <w:t>We understand that the original and all the copies of the bid have to be sealed in the same inner envelope. Please confirm or clarify: does each copy have to be packed/sealed in its own separate inner envelope?</w:t>
            </w:r>
          </w:p>
        </w:tc>
      </w:tr>
      <w:tr w:rsidR="00012F65" w:rsidRPr="00345AA8" w:rsidTr="00D92DCC">
        <w:trPr>
          <w:jc w:val="center"/>
        </w:trPr>
        <w:tc>
          <w:tcPr>
            <w:tcW w:w="1439" w:type="pct"/>
            <w:shd w:val="clear" w:color="auto" w:fill="E0E0E0"/>
          </w:tcPr>
          <w:p w:rsidR="00012F65" w:rsidRPr="00345AA8" w:rsidRDefault="00012F65" w:rsidP="00D92DCC">
            <w:pPr>
              <w:spacing w:before="60"/>
            </w:pPr>
            <w:r w:rsidRPr="00345AA8">
              <w:t>Answer</w:t>
            </w:r>
          </w:p>
        </w:tc>
        <w:tc>
          <w:tcPr>
            <w:tcW w:w="3561" w:type="pct"/>
          </w:tcPr>
          <w:p w:rsidR="00012F65" w:rsidRPr="00D01CC1" w:rsidRDefault="00012F65" w:rsidP="00D92DCC">
            <w:pPr>
              <w:spacing w:line="276" w:lineRule="auto"/>
              <w:rPr>
                <w:lang w:eastAsia="el-GR"/>
              </w:rPr>
            </w:pPr>
            <w:r w:rsidRPr="00D01CC1">
              <w:rPr>
                <w:lang w:eastAsia="el-GR"/>
              </w:rPr>
              <w:t>Originals and copies should be sealed in a separate envelope duly marked as “original” or “copy” and then placed in an outer envelope.</w:t>
            </w:r>
          </w:p>
          <w:p w:rsidR="00012F65" w:rsidRPr="00345AA8" w:rsidRDefault="00012F65" w:rsidP="00D92DCC"/>
        </w:tc>
      </w:tr>
    </w:tbl>
    <w:p w:rsidR="00012F65" w:rsidRPr="00345AA8" w:rsidRDefault="00012F65" w:rsidP="00D6354D">
      <w:pPr>
        <w:jc w:val="left"/>
      </w:pPr>
    </w:p>
    <w:p w:rsidR="00012F65" w:rsidRPr="00345AA8" w:rsidRDefault="00012F65" w:rsidP="00D6354D">
      <w:pPr>
        <w:jc w:val="left"/>
      </w:pPr>
      <w:r w:rsidRPr="00345AA8">
        <w:t>Clarification 53: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012F65" w:rsidRPr="00345AA8" w:rsidTr="00D92DCC">
        <w:trPr>
          <w:jc w:val="center"/>
        </w:trPr>
        <w:tc>
          <w:tcPr>
            <w:tcW w:w="1439" w:type="pct"/>
            <w:shd w:val="clear" w:color="auto" w:fill="E0E0E0"/>
          </w:tcPr>
          <w:p w:rsidR="00012F65" w:rsidRPr="00345AA8" w:rsidRDefault="00012F65" w:rsidP="00D92DCC">
            <w:pPr>
              <w:spacing w:before="60"/>
            </w:pPr>
            <w:r w:rsidRPr="00345AA8">
              <w:t>Tenderer’s Question</w:t>
            </w:r>
          </w:p>
        </w:tc>
        <w:tc>
          <w:tcPr>
            <w:tcW w:w="3561" w:type="pct"/>
          </w:tcPr>
          <w:p w:rsidR="00890E50" w:rsidRDefault="00012F65" w:rsidP="00890E50">
            <w:pPr>
              <w:pStyle w:val="Clarification"/>
              <w:numPr>
                <w:ilvl w:val="0"/>
                <w:numId w:val="0"/>
              </w:numPr>
              <w:spacing w:before="0" w:after="0"/>
              <w:ind w:left="907" w:hanging="907"/>
              <w:jc w:val="left"/>
              <w:rPr>
                <w:b w:val="0"/>
              </w:rPr>
            </w:pPr>
            <w:r w:rsidRPr="00345AA8">
              <w:rPr>
                <w:b w:val="0"/>
              </w:rPr>
              <w:t>We understand that the submission of the original of a</w:t>
            </w:r>
            <w:r w:rsidR="00890E50">
              <w:rPr>
                <w:b w:val="0"/>
              </w:rPr>
              <w:t xml:space="preserve"> </w:t>
            </w:r>
            <w:r w:rsidRPr="00345AA8">
              <w:rPr>
                <w:b w:val="0"/>
              </w:rPr>
              <w:t xml:space="preserve">Consortium </w:t>
            </w:r>
          </w:p>
          <w:p w:rsidR="00FB2DC6" w:rsidRDefault="00012F65" w:rsidP="00890E50">
            <w:pPr>
              <w:pStyle w:val="Clarification"/>
              <w:numPr>
                <w:ilvl w:val="0"/>
                <w:numId w:val="0"/>
              </w:numPr>
              <w:spacing w:before="0" w:after="0"/>
              <w:ind w:left="907" w:hanging="907"/>
              <w:jc w:val="left"/>
              <w:rPr>
                <w:b w:val="0"/>
              </w:rPr>
            </w:pPr>
            <w:r w:rsidRPr="00345AA8">
              <w:rPr>
                <w:b w:val="0"/>
              </w:rPr>
              <w:t>Agreement signed by the legal representatives/</w:t>
            </w:r>
            <w:proofErr w:type="spellStart"/>
            <w:r w:rsidRPr="00345AA8">
              <w:rPr>
                <w:b w:val="0"/>
              </w:rPr>
              <w:t>authorised</w:t>
            </w:r>
            <w:proofErr w:type="spellEnd"/>
            <w:r w:rsidRPr="00345AA8">
              <w:rPr>
                <w:b w:val="0"/>
              </w:rPr>
              <w:t xml:space="preserve"> signatories of</w:t>
            </w:r>
          </w:p>
          <w:p w:rsidR="00FB2DC6" w:rsidRDefault="00012F65" w:rsidP="00890E50">
            <w:pPr>
              <w:pStyle w:val="Clarification"/>
              <w:numPr>
                <w:ilvl w:val="0"/>
                <w:numId w:val="0"/>
              </w:numPr>
              <w:spacing w:before="0" w:after="0"/>
              <w:ind w:left="907" w:hanging="907"/>
              <w:jc w:val="left"/>
              <w:rPr>
                <w:b w:val="0"/>
              </w:rPr>
            </w:pPr>
            <w:r w:rsidRPr="00345AA8">
              <w:rPr>
                <w:b w:val="0"/>
              </w:rPr>
              <w:t xml:space="preserve"> all the parties of the Consortium, providing for the joint participation in </w:t>
            </w:r>
          </w:p>
          <w:p w:rsidR="00FB2DC6" w:rsidRDefault="00012F65" w:rsidP="00890E50">
            <w:pPr>
              <w:pStyle w:val="Clarification"/>
              <w:numPr>
                <w:ilvl w:val="0"/>
                <w:numId w:val="0"/>
              </w:numPr>
              <w:spacing w:before="0" w:after="0"/>
              <w:ind w:left="907" w:hanging="907"/>
              <w:jc w:val="left"/>
              <w:rPr>
                <w:b w:val="0"/>
              </w:rPr>
            </w:pPr>
            <w:r w:rsidRPr="00345AA8">
              <w:rPr>
                <w:b w:val="0"/>
              </w:rPr>
              <w:t xml:space="preserve">the procedure and </w:t>
            </w:r>
            <w:proofErr w:type="spellStart"/>
            <w:r w:rsidRPr="00345AA8">
              <w:rPr>
                <w:b w:val="0"/>
              </w:rPr>
              <w:t>authorising</w:t>
            </w:r>
            <w:proofErr w:type="spellEnd"/>
            <w:r w:rsidRPr="00345AA8">
              <w:rPr>
                <w:b w:val="0"/>
              </w:rPr>
              <w:t xml:space="preserve"> the representative of the consortium, </w:t>
            </w:r>
          </w:p>
          <w:p w:rsidR="00890E50" w:rsidRDefault="00012F65" w:rsidP="00FB2DC6">
            <w:pPr>
              <w:pStyle w:val="Clarification"/>
              <w:numPr>
                <w:ilvl w:val="0"/>
                <w:numId w:val="0"/>
              </w:numPr>
              <w:spacing w:before="0" w:after="0"/>
              <w:ind w:left="907" w:hanging="907"/>
              <w:jc w:val="left"/>
              <w:rPr>
                <w:b w:val="0"/>
              </w:rPr>
            </w:pPr>
            <w:proofErr w:type="gramStart"/>
            <w:r w:rsidRPr="00345AA8">
              <w:rPr>
                <w:b w:val="0"/>
              </w:rPr>
              <w:t>suffices</w:t>
            </w:r>
            <w:proofErr w:type="gramEnd"/>
            <w:r w:rsidRPr="00345AA8">
              <w:rPr>
                <w:b w:val="0"/>
              </w:rPr>
              <w:t xml:space="preserve"> to cover this requirement. The ce</w:t>
            </w:r>
            <w:r w:rsidR="00890E50">
              <w:rPr>
                <w:b w:val="0"/>
              </w:rPr>
              <w:t>rtificates evidencing the legal</w:t>
            </w:r>
          </w:p>
          <w:p w:rsidR="00890E50" w:rsidRDefault="00890E50" w:rsidP="00890E50">
            <w:pPr>
              <w:pStyle w:val="Clarification"/>
              <w:numPr>
                <w:ilvl w:val="0"/>
                <w:numId w:val="0"/>
              </w:numPr>
              <w:spacing w:before="0"/>
              <w:ind w:left="907" w:hanging="907"/>
              <w:rPr>
                <w:b w:val="0"/>
              </w:rPr>
            </w:pPr>
            <w:r>
              <w:rPr>
                <w:b w:val="0"/>
              </w:rPr>
              <w:t xml:space="preserve"> </w:t>
            </w:r>
            <w:r w:rsidR="00012F65" w:rsidRPr="00345AA8">
              <w:rPr>
                <w:b w:val="0"/>
              </w:rPr>
              <w:t>representative(s)/</w:t>
            </w:r>
            <w:proofErr w:type="spellStart"/>
            <w:r w:rsidR="00012F65" w:rsidRPr="00345AA8">
              <w:rPr>
                <w:b w:val="0"/>
              </w:rPr>
              <w:t>authorised</w:t>
            </w:r>
            <w:proofErr w:type="spellEnd"/>
            <w:r w:rsidR="00012F65" w:rsidRPr="00345AA8">
              <w:rPr>
                <w:b w:val="0"/>
              </w:rPr>
              <w:t xml:space="preserve"> </w:t>
            </w:r>
            <w:proofErr w:type="spellStart"/>
            <w:r w:rsidR="00012F65" w:rsidRPr="00345AA8">
              <w:rPr>
                <w:b w:val="0"/>
              </w:rPr>
              <w:t>signatorie</w:t>
            </w:r>
            <w:proofErr w:type="spellEnd"/>
            <w:r w:rsidR="00012F65" w:rsidRPr="00345AA8">
              <w:rPr>
                <w:b w:val="0"/>
              </w:rPr>
              <w:t xml:space="preserve">(s) of each company will also be </w:t>
            </w:r>
          </w:p>
          <w:p w:rsidR="00890E50" w:rsidRPr="00890E50" w:rsidRDefault="00012F65" w:rsidP="00FB2DC6">
            <w:pPr>
              <w:pStyle w:val="Clarification"/>
              <w:numPr>
                <w:ilvl w:val="0"/>
                <w:numId w:val="0"/>
              </w:numPr>
              <w:spacing w:before="0"/>
              <w:ind w:left="907" w:hanging="907"/>
            </w:pPr>
            <w:proofErr w:type="gramStart"/>
            <w:r w:rsidRPr="00345AA8">
              <w:rPr>
                <w:b w:val="0"/>
              </w:rPr>
              <w:t>submitted</w:t>
            </w:r>
            <w:proofErr w:type="gramEnd"/>
            <w:r w:rsidRPr="00345AA8">
              <w:rPr>
                <w:b w:val="0"/>
              </w:rPr>
              <w:t>.</w:t>
            </w:r>
          </w:p>
          <w:p w:rsidR="00012F65" w:rsidRPr="00345AA8" w:rsidRDefault="00012F65" w:rsidP="00890E50">
            <w:pPr>
              <w:pStyle w:val="Clarification"/>
              <w:numPr>
                <w:ilvl w:val="0"/>
                <w:numId w:val="0"/>
              </w:numPr>
              <w:spacing w:before="0"/>
              <w:ind w:left="907" w:hanging="907"/>
              <w:jc w:val="left"/>
              <w:rPr>
                <w:b w:val="0"/>
              </w:rPr>
            </w:pPr>
            <w:r w:rsidRPr="00345AA8">
              <w:rPr>
                <w:b w:val="0"/>
              </w:rPr>
              <w:t xml:space="preserve">Please confirm or elaborate further if additional evidence has to </w:t>
            </w:r>
          </w:p>
          <w:p w:rsidR="00012F65" w:rsidRPr="00345AA8" w:rsidRDefault="00012F65" w:rsidP="00890E50">
            <w:pPr>
              <w:pStyle w:val="Clarification"/>
              <w:numPr>
                <w:ilvl w:val="0"/>
                <w:numId w:val="0"/>
              </w:numPr>
              <w:spacing w:before="0"/>
              <w:ind w:left="907" w:hanging="907"/>
              <w:jc w:val="left"/>
              <w:rPr>
                <w:b w:val="0"/>
              </w:rPr>
            </w:pPr>
            <w:proofErr w:type="gramStart"/>
            <w:r w:rsidRPr="00345AA8">
              <w:rPr>
                <w:b w:val="0"/>
              </w:rPr>
              <w:t>be</w:t>
            </w:r>
            <w:proofErr w:type="gramEnd"/>
            <w:r w:rsidRPr="00345AA8">
              <w:rPr>
                <w:b w:val="0"/>
              </w:rPr>
              <w:t xml:space="preserve"> submitted.</w:t>
            </w:r>
          </w:p>
          <w:p w:rsidR="00012F65" w:rsidRPr="00345AA8" w:rsidRDefault="00012F65" w:rsidP="00D92DCC"/>
        </w:tc>
      </w:tr>
      <w:tr w:rsidR="00012F65" w:rsidRPr="00345AA8" w:rsidTr="00D92DCC">
        <w:trPr>
          <w:jc w:val="center"/>
        </w:trPr>
        <w:tc>
          <w:tcPr>
            <w:tcW w:w="1439" w:type="pct"/>
            <w:shd w:val="clear" w:color="auto" w:fill="E0E0E0"/>
          </w:tcPr>
          <w:p w:rsidR="00012F65" w:rsidRPr="00345AA8" w:rsidRDefault="00012F65" w:rsidP="00D92DCC">
            <w:pPr>
              <w:spacing w:before="60"/>
            </w:pPr>
            <w:r w:rsidRPr="00345AA8">
              <w:t>Answer</w:t>
            </w:r>
          </w:p>
        </w:tc>
        <w:tc>
          <w:tcPr>
            <w:tcW w:w="3561" w:type="pct"/>
          </w:tcPr>
          <w:p w:rsidR="00012F65" w:rsidRPr="00D01CC1" w:rsidRDefault="00012F65" w:rsidP="00D92DCC">
            <w:pPr>
              <w:spacing w:line="276" w:lineRule="auto"/>
            </w:pPr>
            <w:r w:rsidRPr="00D01CC1">
              <w:rPr>
                <w:lang w:eastAsia="el-GR"/>
              </w:rPr>
              <w:t>Please note that</w:t>
            </w:r>
            <w:r w:rsidR="00345AA8" w:rsidRPr="00D01CC1">
              <w:rPr>
                <w:lang w:eastAsia="el-GR"/>
              </w:rPr>
              <w:t xml:space="preserve">, </w:t>
            </w:r>
            <w:r w:rsidRPr="00D01CC1">
              <w:rPr>
                <w:lang w:eastAsia="el-GR"/>
              </w:rPr>
              <w:t>1) the Consortium Agreement, 2) the authorisation to sign on behalf of the consortium and 3) evidence that the representative for each member of the consortium to enter into the Consortium Agreement should be duly notarized.</w:t>
            </w:r>
          </w:p>
          <w:p w:rsidR="00012F65" w:rsidRPr="00D01CC1" w:rsidRDefault="00012F65" w:rsidP="00D92DCC"/>
        </w:tc>
      </w:tr>
    </w:tbl>
    <w:p w:rsidR="00012F65" w:rsidRPr="00345AA8" w:rsidRDefault="00012F65" w:rsidP="00D6354D">
      <w:pPr>
        <w:jc w:val="left"/>
      </w:pPr>
    </w:p>
    <w:p w:rsidR="00012F65" w:rsidRPr="00345AA8" w:rsidRDefault="00012F65" w:rsidP="00D6354D">
      <w:pPr>
        <w:jc w:val="left"/>
      </w:pPr>
      <w:r w:rsidRPr="00345AA8">
        <w:t>Clarification 54: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012F65" w:rsidRPr="00345AA8" w:rsidTr="00D92DCC">
        <w:trPr>
          <w:jc w:val="center"/>
        </w:trPr>
        <w:tc>
          <w:tcPr>
            <w:tcW w:w="1439" w:type="pct"/>
            <w:shd w:val="clear" w:color="auto" w:fill="E0E0E0"/>
          </w:tcPr>
          <w:p w:rsidR="00012F65" w:rsidRPr="00345AA8" w:rsidRDefault="00012F65" w:rsidP="00D92DCC">
            <w:pPr>
              <w:spacing w:before="60"/>
            </w:pPr>
            <w:r w:rsidRPr="00345AA8">
              <w:t>Tenderer’s Question</w:t>
            </w:r>
          </w:p>
        </w:tc>
        <w:tc>
          <w:tcPr>
            <w:tcW w:w="3561" w:type="pct"/>
          </w:tcPr>
          <w:p w:rsidR="00012F65" w:rsidRPr="00345AA8" w:rsidRDefault="00012F65" w:rsidP="00D92DCC">
            <w:pPr>
              <w:spacing w:line="276" w:lineRule="auto"/>
              <w:rPr>
                <w:lang w:eastAsia="el-GR"/>
              </w:rPr>
            </w:pPr>
            <w:r w:rsidRPr="00345AA8">
              <w:rPr>
                <w:lang w:eastAsia="el-GR"/>
              </w:rPr>
              <w:t>It seems that paragraphs 3.1 and 3.2 contradict each other. We understand that in alignment with the Contract Notice paragraph 8, paragraph 3.1 should be removed. Please confirm.</w:t>
            </w:r>
          </w:p>
          <w:p w:rsidR="00012F65" w:rsidRPr="00345AA8" w:rsidRDefault="00012F65" w:rsidP="00D92DCC"/>
        </w:tc>
      </w:tr>
      <w:tr w:rsidR="00012F65" w:rsidRPr="00345AA8" w:rsidTr="00D92DCC">
        <w:trPr>
          <w:jc w:val="center"/>
        </w:trPr>
        <w:tc>
          <w:tcPr>
            <w:tcW w:w="1439" w:type="pct"/>
            <w:shd w:val="clear" w:color="auto" w:fill="E0E0E0"/>
          </w:tcPr>
          <w:p w:rsidR="00012F65" w:rsidRPr="00345AA8" w:rsidRDefault="00012F65" w:rsidP="00D92DCC">
            <w:pPr>
              <w:spacing w:before="60"/>
            </w:pPr>
            <w:r w:rsidRPr="00345AA8">
              <w:t>Answer</w:t>
            </w:r>
          </w:p>
        </w:tc>
        <w:tc>
          <w:tcPr>
            <w:tcW w:w="3561" w:type="pct"/>
          </w:tcPr>
          <w:p w:rsidR="00012F65" w:rsidRPr="00D01CC1" w:rsidRDefault="00012F65" w:rsidP="00D92DCC">
            <w:pPr>
              <w:spacing w:line="276" w:lineRule="auto"/>
              <w:rPr>
                <w:lang w:eastAsia="el-GR"/>
              </w:rPr>
            </w:pPr>
            <w:r w:rsidRPr="00D01CC1">
              <w:rPr>
                <w:lang w:eastAsia="el-GR"/>
              </w:rPr>
              <w:t>Please see the published corrigendum to the Contract Notice</w:t>
            </w:r>
          </w:p>
          <w:p w:rsidR="00012F65" w:rsidRPr="00345AA8" w:rsidRDefault="00012F65" w:rsidP="00D92DCC"/>
        </w:tc>
      </w:tr>
    </w:tbl>
    <w:p w:rsidR="00012F65" w:rsidRPr="00345AA8" w:rsidRDefault="00012F65" w:rsidP="00D6354D">
      <w:pPr>
        <w:jc w:val="left"/>
      </w:pPr>
    </w:p>
    <w:p w:rsidR="00012F65" w:rsidRPr="00345AA8" w:rsidRDefault="00012F65" w:rsidP="00D6354D">
      <w:pPr>
        <w:jc w:val="left"/>
      </w:pPr>
      <w:r w:rsidRPr="00345AA8">
        <w:t>Clarification 55: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012F65" w:rsidRPr="00345AA8" w:rsidTr="00D92DCC">
        <w:trPr>
          <w:jc w:val="center"/>
        </w:trPr>
        <w:tc>
          <w:tcPr>
            <w:tcW w:w="1439" w:type="pct"/>
            <w:shd w:val="clear" w:color="auto" w:fill="E0E0E0"/>
          </w:tcPr>
          <w:p w:rsidR="00012F65" w:rsidRPr="00345AA8" w:rsidRDefault="00012F65" w:rsidP="00D92DCC">
            <w:pPr>
              <w:spacing w:before="60"/>
            </w:pPr>
            <w:r w:rsidRPr="00345AA8">
              <w:t>Tenderer’s Question</w:t>
            </w:r>
          </w:p>
        </w:tc>
        <w:tc>
          <w:tcPr>
            <w:tcW w:w="3561" w:type="pct"/>
          </w:tcPr>
          <w:p w:rsidR="00012F65" w:rsidRPr="00345AA8" w:rsidRDefault="00012F65" w:rsidP="00D92DCC">
            <w:pPr>
              <w:spacing w:line="276" w:lineRule="auto"/>
              <w:rPr>
                <w:lang w:eastAsia="el-GR"/>
              </w:rPr>
            </w:pPr>
            <w:r w:rsidRPr="00345AA8">
              <w:rPr>
                <w:lang w:eastAsia="el-GR"/>
              </w:rPr>
              <w:t>Passage in Document</w:t>
            </w:r>
            <w:r w:rsidRPr="00345AA8">
              <w:rPr>
                <w:lang w:eastAsia="el-GR"/>
              </w:rPr>
              <w:tab/>
              <w:t xml:space="preserve">Participation in tendering is open on equal terms to natural and legal persons (participating either individually or in a grouping (consortium) of tenderers which are established in a Member State of the European Union, ACP States or in a country or territory authorised by the </w:t>
            </w:r>
            <w:r w:rsidRPr="00345AA8">
              <w:rPr>
                <w:lang w:eastAsia="el-GR"/>
              </w:rPr>
              <w:lastRenderedPageBreak/>
              <w:t>ACP_EC Partnership Agreement under which the contract is financed (see also item 29 below). Participation is also open to international organisations.</w:t>
            </w:r>
          </w:p>
          <w:p w:rsidR="00012F65" w:rsidRPr="00345AA8" w:rsidRDefault="00012F65" w:rsidP="00D92DCC">
            <w:pPr>
              <w:spacing w:line="276" w:lineRule="auto"/>
              <w:rPr>
                <w:lang w:eastAsia="el-GR"/>
              </w:rPr>
            </w:pPr>
            <w:r w:rsidRPr="00345AA8">
              <w:rPr>
                <w:lang w:eastAsia="el-GR"/>
              </w:rPr>
              <w:t>Tenderer’s Question</w:t>
            </w:r>
            <w:r w:rsidRPr="00345AA8">
              <w:rPr>
                <w:lang w:eastAsia="el-GR"/>
              </w:rPr>
              <w:tab/>
              <w:t>We failed to identify item 29 referenced in the above text. Please clarify what “item 29” refers to.</w:t>
            </w:r>
          </w:p>
          <w:p w:rsidR="00012F65" w:rsidRPr="00345AA8" w:rsidRDefault="00012F65" w:rsidP="00D92DCC"/>
        </w:tc>
      </w:tr>
      <w:tr w:rsidR="00012F65" w:rsidRPr="00345AA8" w:rsidTr="00D92DCC">
        <w:trPr>
          <w:jc w:val="center"/>
        </w:trPr>
        <w:tc>
          <w:tcPr>
            <w:tcW w:w="1439" w:type="pct"/>
            <w:shd w:val="clear" w:color="auto" w:fill="E0E0E0"/>
          </w:tcPr>
          <w:p w:rsidR="00012F65" w:rsidRPr="00345AA8" w:rsidRDefault="00012F65" w:rsidP="00D92DCC">
            <w:pPr>
              <w:spacing w:before="60"/>
            </w:pPr>
            <w:r w:rsidRPr="00345AA8">
              <w:lastRenderedPageBreak/>
              <w:t>Answer</w:t>
            </w:r>
          </w:p>
        </w:tc>
        <w:tc>
          <w:tcPr>
            <w:tcW w:w="3561" w:type="pct"/>
          </w:tcPr>
          <w:p w:rsidR="005E01AA" w:rsidRPr="00D01CC1" w:rsidRDefault="00012F65" w:rsidP="00D92DCC">
            <w:pPr>
              <w:spacing w:line="276" w:lineRule="auto"/>
              <w:rPr>
                <w:lang w:eastAsia="el-GR"/>
              </w:rPr>
            </w:pPr>
            <w:r w:rsidRPr="00D01CC1">
              <w:rPr>
                <w:lang w:eastAsia="el-GR"/>
              </w:rPr>
              <w:t>The</w:t>
            </w:r>
            <w:r w:rsidR="005E01AA" w:rsidRPr="00D01CC1">
              <w:rPr>
                <w:lang w:eastAsia="el-GR"/>
              </w:rPr>
              <w:t xml:space="preserve"> text should</w:t>
            </w:r>
            <w:r w:rsidRPr="00D01CC1">
              <w:rPr>
                <w:lang w:eastAsia="el-GR"/>
              </w:rPr>
              <w:t xml:space="preserve"> refer to item 22</w:t>
            </w:r>
            <w:r w:rsidR="005E01AA" w:rsidRPr="00D01CC1">
              <w:rPr>
                <w:lang w:eastAsia="el-GR"/>
              </w:rPr>
              <w:t xml:space="preserve"> of the Contract Notice</w:t>
            </w:r>
            <w:r w:rsidRPr="00D01CC1">
              <w:rPr>
                <w:lang w:eastAsia="el-GR"/>
              </w:rPr>
              <w:t xml:space="preserve">. </w:t>
            </w:r>
            <w:r w:rsidR="005E01AA" w:rsidRPr="00D01CC1">
              <w:rPr>
                <w:lang w:eastAsia="el-GR"/>
              </w:rPr>
              <w:t xml:space="preserve">  Please see </w:t>
            </w:r>
            <w:r w:rsidR="00F67AFE" w:rsidRPr="00D01CC1">
              <w:rPr>
                <w:lang w:eastAsia="el-GR"/>
              </w:rPr>
              <w:t>C</w:t>
            </w:r>
            <w:r w:rsidR="005E01AA" w:rsidRPr="00D01CC1">
              <w:rPr>
                <w:lang w:eastAsia="el-GR"/>
              </w:rPr>
              <w:t>orrigendum # 1 of the Contract Notice.</w:t>
            </w:r>
          </w:p>
          <w:p w:rsidR="00012F65" w:rsidRPr="00345AA8" w:rsidRDefault="005E01AA" w:rsidP="00F67AFE">
            <w:pPr>
              <w:spacing w:line="276" w:lineRule="auto"/>
            </w:pPr>
            <w:r w:rsidRPr="00345AA8">
              <w:rPr>
                <w:b/>
                <w:color w:val="2F5496" w:themeColor="accent5" w:themeShade="BF"/>
                <w:lang w:eastAsia="el-GR"/>
              </w:rPr>
              <w:t xml:space="preserve"> </w:t>
            </w:r>
          </w:p>
        </w:tc>
      </w:tr>
    </w:tbl>
    <w:p w:rsidR="00012F65" w:rsidRPr="00345AA8" w:rsidRDefault="00012F65" w:rsidP="00D6354D">
      <w:pPr>
        <w:jc w:val="left"/>
      </w:pPr>
    </w:p>
    <w:p w:rsidR="00012F65" w:rsidRPr="00345AA8" w:rsidRDefault="00012F65" w:rsidP="00D6354D">
      <w:pPr>
        <w:jc w:val="left"/>
      </w:pPr>
      <w:r w:rsidRPr="00345AA8">
        <w:t>Clarification 56:</w:t>
      </w:r>
    </w:p>
    <w:tbl>
      <w:tblPr>
        <w:tblpPr w:leftFromText="180" w:rightFromText="180" w:vertAnchor="text" w:horzAnchor="margin" w:tblpY="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012F65" w:rsidRPr="00345AA8" w:rsidTr="00D92DCC">
        <w:tc>
          <w:tcPr>
            <w:tcW w:w="1439" w:type="pct"/>
            <w:shd w:val="clear" w:color="auto" w:fill="E0E0E0"/>
          </w:tcPr>
          <w:p w:rsidR="00012F65" w:rsidRPr="00345AA8" w:rsidRDefault="00012F65" w:rsidP="00D92DCC">
            <w:pPr>
              <w:spacing w:before="60"/>
            </w:pPr>
            <w:r w:rsidRPr="00345AA8">
              <w:t>Tenderer’s Question</w:t>
            </w:r>
          </w:p>
        </w:tc>
        <w:tc>
          <w:tcPr>
            <w:tcW w:w="3561" w:type="pct"/>
          </w:tcPr>
          <w:p w:rsidR="00012F65" w:rsidRPr="00345AA8" w:rsidRDefault="00012F65" w:rsidP="00D92DCC">
            <w:pPr>
              <w:shd w:val="clear" w:color="auto" w:fill="FFFFFF"/>
              <w:spacing w:after="0" w:line="276" w:lineRule="auto"/>
              <w:rPr>
                <w:rFonts w:cs="Tahoma"/>
                <w:color w:val="282828"/>
              </w:rPr>
            </w:pPr>
            <w:r w:rsidRPr="00345AA8">
              <w:rPr>
                <w:rFonts w:cs="Tahoma"/>
                <w:color w:val="282828"/>
              </w:rPr>
              <w:t xml:space="preserve">Do we have to consider also customs clearance times within the period of implementation? If so, which is the responsibility of the supplier concerning local bureaucracy and possible delays? If clearance times are included, should we ask for a suspension certificate or is this automatically accorded by the Contracting Authority? </w:t>
            </w:r>
          </w:p>
          <w:p w:rsidR="00012F65" w:rsidRPr="00345AA8" w:rsidRDefault="00012F65" w:rsidP="00D92DCC"/>
        </w:tc>
      </w:tr>
      <w:tr w:rsidR="00012F65" w:rsidRPr="00345AA8" w:rsidTr="00D92DCC">
        <w:tc>
          <w:tcPr>
            <w:tcW w:w="1439" w:type="pct"/>
            <w:shd w:val="clear" w:color="auto" w:fill="E0E0E0"/>
          </w:tcPr>
          <w:p w:rsidR="00012F65" w:rsidRPr="00345AA8" w:rsidRDefault="00012F65" w:rsidP="00D92DCC">
            <w:pPr>
              <w:spacing w:before="60"/>
            </w:pPr>
            <w:r w:rsidRPr="00345AA8">
              <w:t>Answer</w:t>
            </w:r>
          </w:p>
        </w:tc>
        <w:tc>
          <w:tcPr>
            <w:tcW w:w="3561" w:type="pct"/>
          </w:tcPr>
          <w:p w:rsidR="00012F65" w:rsidRPr="00345AA8" w:rsidRDefault="00012F65" w:rsidP="00F67AFE">
            <w:pPr>
              <w:shd w:val="clear" w:color="auto" w:fill="FFFFFF"/>
              <w:spacing w:after="0" w:line="276" w:lineRule="auto"/>
            </w:pPr>
            <w:r w:rsidRPr="00D01CC1">
              <w:rPr>
                <w:rFonts w:cs="Tahoma"/>
              </w:rPr>
              <w:t xml:space="preserve">Customs clearance times are included within the period of implementation. In the event that delays are encountered by the supplier, </w:t>
            </w:r>
            <w:r w:rsidR="00F67AFE" w:rsidRPr="00D01CC1">
              <w:rPr>
                <w:rFonts w:cs="Tahoma"/>
              </w:rPr>
              <w:t>Article 21 of the General Conditions will apply</w:t>
            </w:r>
            <w:r w:rsidR="00F67AFE">
              <w:rPr>
                <w:rFonts w:cs="Tahoma"/>
                <w:b/>
                <w:color w:val="2F5496" w:themeColor="accent5" w:themeShade="BF"/>
              </w:rPr>
              <w:t>.</w:t>
            </w:r>
            <w:r w:rsidRPr="00345AA8">
              <w:rPr>
                <w:rFonts w:cs="Tahoma"/>
                <w:b/>
                <w:color w:val="2F5496" w:themeColor="accent5" w:themeShade="BF"/>
              </w:rPr>
              <w:t xml:space="preserve"> </w:t>
            </w:r>
          </w:p>
        </w:tc>
      </w:tr>
    </w:tbl>
    <w:p w:rsidR="00012F65" w:rsidRPr="00345AA8" w:rsidRDefault="00012F65" w:rsidP="00D6354D">
      <w:pPr>
        <w:jc w:val="left"/>
      </w:pPr>
    </w:p>
    <w:p w:rsidR="00012F65" w:rsidRPr="00345AA8" w:rsidRDefault="00012F65" w:rsidP="00D6354D">
      <w:pPr>
        <w:jc w:val="left"/>
      </w:pPr>
      <w:r w:rsidRPr="00345AA8">
        <w:t>Clarification 57: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012F65" w:rsidRPr="00345AA8" w:rsidTr="00D92DCC">
        <w:trPr>
          <w:jc w:val="center"/>
        </w:trPr>
        <w:tc>
          <w:tcPr>
            <w:tcW w:w="1439" w:type="pct"/>
            <w:shd w:val="clear" w:color="auto" w:fill="E0E0E0"/>
          </w:tcPr>
          <w:p w:rsidR="00012F65" w:rsidRPr="00345AA8" w:rsidRDefault="00012F65" w:rsidP="00D92DCC">
            <w:pPr>
              <w:spacing w:before="60"/>
            </w:pPr>
            <w:r w:rsidRPr="00345AA8">
              <w:t>Tenderer’s Question</w:t>
            </w:r>
          </w:p>
        </w:tc>
        <w:tc>
          <w:tcPr>
            <w:tcW w:w="3561" w:type="pct"/>
          </w:tcPr>
          <w:p w:rsidR="00012F65" w:rsidRPr="00345AA8" w:rsidRDefault="00012F65" w:rsidP="00D92DCC">
            <w:r w:rsidRPr="00345AA8">
              <w:rPr>
                <w:rFonts w:cs="Tahoma"/>
                <w:color w:val="282828"/>
              </w:rPr>
              <w:t>Could you please confirm that you are requesting IT products from internationally recognized brands, as we can deduce from the technical specifications?</w:t>
            </w:r>
          </w:p>
        </w:tc>
      </w:tr>
      <w:tr w:rsidR="00012F65" w:rsidRPr="00345AA8" w:rsidTr="00D92DCC">
        <w:trPr>
          <w:jc w:val="center"/>
        </w:trPr>
        <w:tc>
          <w:tcPr>
            <w:tcW w:w="1439" w:type="pct"/>
            <w:shd w:val="clear" w:color="auto" w:fill="E0E0E0"/>
          </w:tcPr>
          <w:p w:rsidR="00012F65" w:rsidRPr="00345AA8" w:rsidRDefault="00012F65" w:rsidP="00D92DCC">
            <w:pPr>
              <w:spacing w:before="60"/>
            </w:pPr>
            <w:r w:rsidRPr="00345AA8">
              <w:t>Answer</w:t>
            </w:r>
          </w:p>
        </w:tc>
        <w:tc>
          <w:tcPr>
            <w:tcW w:w="3561" w:type="pct"/>
          </w:tcPr>
          <w:p w:rsidR="00012F65" w:rsidRPr="00D01CC1" w:rsidRDefault="00012F65" w:rsidP="00D92DCC">
            <w:pPr>
              <w:spacing w:line="276" w:lineRule="auto"/>
            </w:pPr>
            <w:r w:rsidRPr="00D01CC1">
              <w:rPr>
                <w:rFonts w:cs="Tahoma"/>
              </w:rPr>
              <w:t>IT products which meet the full technical specifications are the subject of this tender</w:t>
            </w:r>
          </w:p>
        </w:tc>
      </w:tr>
    </w:tbl>
    <w:p w:rsidR="00012F65" w:rsidRPr="00345AA8" w:rsidRDefault="00012F65" w:rsidP="00D6354D">
      <w:pPr>
        <w:jc w:val="left"/>
      </w:pPr>
    </w:p>
    <w:p w:rsidR="00012F65" w:rsidRPr="00345AA8" w:rsidRDefault="00012F65" w:rsidP="00D6354D">
      <w:pPr>
        <w:jc w:val="left"/>
      </w:pPr>
      <w:r w:rsidRPr="00345AA8">
        <w:t xml:space="preserve">Clarification 58: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012F65" w:rsidRPr="00345AA8" w:rsidTr="00D92DCC">
        <w:trPr>
          <w:jc w:val="center"/>
        </w:trPr>
        <w:tc>
          <w:tcPr>
            <w:tcW w:w="1439" w:type="pct"/>
            <w:shd w:val="clear" w:color="auto" w:fill="E0E0E0"/>
          </w:tcPr>
          <w:p w:rsidR="00012F65" w:rsidRPr="00345AA8" w:rsidRDefault="00012F65" w:rsidP="00D92DCC">
            <w:pPr>
              <w:spacing w:before="60"/>
            </w:pPr>
            <w:r w:rsidRPr="00345AA8">
              <w:t>Tenderer’s Question</w:t>
            </w:r>
          </w:p>
        </w:tc>
        <w:tc>
          <w:tcPr>
            <w:tcW w:w="3561" w:type="pct"/>
          </w:tcPr>
          <w:p w:rsidR="00012F65" w:rsidRPr="00345AA8" w:rsidRDefault="00012F65" w:rsidP="00D92DCC">
            <w:pPr>
              <w:shd w:val="clear" w:color="auto" w:fill="FFFFFF"/>
              <w:spacing w:after="0" w:line="276" w:lineRule="auto"/>
              <w:rPr>
                <w:rFonts w:cs="Tahoma"/>
                <w:color w:val="282828"/>
              </w:rPr>
            </w:pPr>
            <w:r w:rsidRPr="00345AA8">
              <w:rPr>
                <w:rFonts w:cs="Tahoma"/>
                <w:color w:val="282828"/>
              </w:rPr>
              <w:t>Could you please clarify whether we have to submit only one electronic version attached to the original copy of the financial and technical offer or should each copy of the financial and technical offer be accompanied by one electronic version?</w:t>
            </w:r>
          </w:p>
          <w:p w:rsidR="00012F65" w:rsidRPr="00345AA8" w:rsidRDefault="00012F65" w:rsidP="00D92DCC"/>
        </w:tc>
      </w:tr>
      <w:tr w:rsidR="00012F65" w:rsidRPr="00345AA8" w:rsidTr="00D92DCC">
        <w:trPr>
          <w:jc w:val="center"/>
        </w:trPr>
        <w:tc>
          <w:tcPr>
            <w:tcW w:w="1439" w:type="pct"/>
            <w:shd w:val="clear" w:color="auto" w:fill="E0E0E0"/>
          </w:tcPr>
          <w:p w:rsidR="00012F65" w:rsidRPr="00345AA8" w:rsidRDefault="00012F65" w:rsidP="00D92DCC">
            <w:pPr>
              <w:spacing w:before="60"/>
            </w:pPr>
            <w:r w:rsidRPr="00345AA8">
              <w:t>Answer</w:t>
            </w:r>
          </w:p>
        </w:tc>
        <w:tc>
          <w:tcPr>
            <w:tcW w:w="3561" w:type="pct"/>
          </w:tcPr>
          <w:p w:rsidR="00012F65" w:rsidRPr="00D01CC1" w:rsidRDefault="00012F65" w:rsidP="00D92DCC">
            <w:r w:rsidRPr="00D01CC1">
              <w:rPr>
                <w:rFonts w:cs="Tahoma"/>
              </w:rPr>
              <w:t>A single electronic version attached to the original copy of the financial and technical specifications will be required</w:t>
            </w:r>
          </w:p>
        </w:tc>
      </w:tr>
    </w:tbl>
    <w:p w:rsidR="00012F65" w:rsidRPr="00345AA8" w:rsidRDefault="00012F65" w:rsidP="00D6354D">
      <w:pPr>
        <w:jc w:val="left"/>
      </w:pPr>
      <w:r w:rsidRPr="00345AA8">
        <w:t>Clarification 59: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012F65" w:rsidRPr="00345AA8" w:rsidTr="00D92DCC">
        <w:trPr>
          <w:jc w:val="center"/>
        </w:trPr>
        <w:tc>
          <w:tcPr>
            <w:tcW w:w="1439" w:type="pct"/>
            <w:shd w:val="clear" w:color="auto" w:fill="E0E0E0"/>
          </w:tcPr>
          <w:p w:rsidR="00012F65" w:rsidRPr="00345AA8" w:rsidRDefault="00012F65" w:rsidP="00D92DCC">
            <w:pPr>
              <w:spacing w:before="60"/>
            </w:pPr>
            <w:r w:rsidRPr="00345AA8">
              <w:t>Tenderer’s Question</w:t>
            </w:r>
          </w:p>
        </w:tc>
        <w:tc>
          <w:tcPr>
            <w:tcW w:w="3561" w:type="pct"/>
          </w:tcPr>
          <w:p w:rsidR="00012F65" w:rsidRPr="00345AA8" w:rsidRDefault="00012F65" w:rsidP="00D92DCC">
            <w:pPr>
              <w:shd w:val="clear" w:color="auto" w:fill="FFFFFF"/>
              <w:spacing w:after="0" w:line="276" w:lineRule="auto"/>
              <w:rPr>
                <w:rFonts w:cs="Tahoma"/>
                <w:color w:val="282828"/>
              </w:rPr>
            </w:pPr>
            <w:r w:rsidRPr="00345AA8">
              <w:rPr>
                <w:rFonts w:cs="Tahoma"/>
                <w:color w:val="282828"/>
              </w:rPr>
              <w:t>Please confirm that there is full exemption from any taxes and duties</w:t>
            </w:r>
          </w:p>
          <w:p w:rsidR="00012F65" w:rsidRPr="00345AA8" w:rsidRDefault="00012F65" w:rsidP="00D92DCC"/>
        </w:tc>
      </w:tr>
      <w:tr w:rsidR="00012F65" w:rsidRPr="00345AA8" w:rsidTr="00D92DCC">
        <w:trPr>
          <w:jc w:val="center"/>
        </w:trPr>
        <w:tc>
          <w:tcPr>
            <w:tcW w:w="1439" w:type="pct"/>
            <w:shd w:val="clear" w:color="auto" w:fill="E0E0E0"/>
          </w:tcPr>
          <w:p w:rsidR="00012F65" w:rsidRPr="00345AA8" w:rsidRDefault="00012F65" w:rsidP="00D92DCC">
            <w:pPr>
              <w:spacing w:before="60"/>
            </w:pPr>
            <w:r w:rsidRPr="00345AA8">
              <w:t>Answer</w:t>
            </w:r>
          </w:p>
        </w:tc>
        <w:tc>
          <w:tcPr>
            <w:tcW w:w="3561" w:type="pct"/>
          </w:tcPr>
          <w:p w:rsidR="00012F65" w:rsidRPr="00D01CC1" w:rsidRDefault="00012F65" w:rsidP="00D121D5">
            <w:r w:rsidRPr="00D01CC1">
              <w:rPr>
                <w:rFonts w:cs="Tahoma"/>
              </w:rPr>
              <w:t>Exemption from applicable taxes and duties will be facilitated by CARICOM Member States</w:t>
            </w:r>
            <w:r w:rsidR="00345AA8" w:rsidRPr="00D01CC1">
              <w:rPr>
                <w:rFonts w:cs="Tahoma"/>
              </w:rPr>
              <w:t>, through the CARICOM Secretariat</w:t>
            </w:r>
            <w:r w:rsidR="00F67AFE" w:rsidRPr="00D01CC1">
              <w:rPr>
                <w:rFonts w:cs="Tahoma"/>
              </w:rPr>
              <w:t>.</w:t>
            </w:r>
          </w:p>
        </w:tc>
      </w:tr>
    </w:tbl>
    <w:p w:rsidR="00012F65" w:rsidRPr="00345AA8" w:rsidRDefault="00012F65" w:rsidP="00D6354D">
      <w:pPr>
        <w:jc w:val="left"/>
      </w:pPr>
    </w:p>
    <w:p w:rsidR="00012F65" w:rsidRPr="00345AA8" w:rsidRDefault="00012F65" w:rsidP="00D6354D">
      <w:pPr>
        <w:jc w:val="left"/>
      </w:pPr>
      <w:r w:rsidRPr="00345AA8">
        <w:t xml:space="preserve">Clarification 60: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012F65" w:rsidRPr="00345AA8" w:rsidTr="00D92DCC">
        <w:trPr>
          <w:jc w:val="center"/>
        </w:trPr>
        <w:tc>
          <w:tcPr>
            <w:tcW w:w="1439" w:type="pct"/>
            <w:shd w:val="clear" w:color="auto" w:fill="E0E0E0"/>
          </w:tcPr>
          <w:p w:rsidR="00012F65" w:rsidRPr="00345AA8" w:rsidRDefault="00012F65" w:rsidP="00D92DCC">
            <w:pPr>
              <w:spacing w:before="60"/>
            </w:pPr>
            <w:r w:rsidRPr="00345AA8">
              <w:t>Tenderer’s Question</w:t>
            </w:r>
          </w:p>
        </w:tc>
        <w:tc>
          <w:tcPr>
            <w:tcW w:w="3561" w:type="pct"/>
          </w:tcPr>
          <w:p w:rsidR="00012F65" w:rsidRPr="00345AA8" w:rsidRDefault="00012F65" w:rsidP="00D92DCC">
            <w:r w:rsidRPr="00345AA8">
              <w:rPr>
                <w:rFonts w:cs="Tahoma"/>
                <w:color w:val="282828"/>
              </w:rPr>
              <w:t>Please clarify if the Incoterm to be considered will be DDP or DAP</w:t>
            </w:r>
          </w:p>
        </w:tc>
      </w:tr>
      <w:tr w:rsidR="00012F65" w:rsidRPr="00345AA8" w:rsidTr="00D92DCC">
        <w:trPr>
          <w:jc w:val="center"/>
        </w:trPr>
        <w:tc>
          <w:tcPr>
            <w:tcW w:w="1439" w:type="pct"/>
            <w:shd w:val="clear" w:color="auto" w:fill="E0E0E0"/>
          </w:tcPr>
          <w:p w:rsidR="00012F65" w:rsidRPr="00345AA8" w:rsidRDefault="00012F65" w:rsidP="00D92DCC">
            <w:pPr>
              <w:spacing w:before="60"/>
            </w:pPr>
            <w:r w:rsidRPr="00345AA8">
              <w:t>Answer</w:t>
            </w:r>
          </w:p>
        </w:tc>
        <w:tc>
          <w:tcPr>
            <w:tcW w:w="3561" w:type="pct"/>
          </w:tcPr>
          <w:p w:rsidR="00012F65" w:rsidRPr="00D01CC1" w:rsidRDefault="00012F65" w:rsidP="00D92DCC">
            <w:r w:rsidRPr="00D01CC1">
              <w:rPr>
                <w:rFonts w:cs="Tahoma"/>
              </w:rPr>
              <w:t xml:space="preserve">The Incoterm to be considered is DDP   </w:t>
            </w:r>
          </w:p>
        </w:tc>
      </w:tr>
    </w:tbl>
    <w:p w:rsidR="00012F65" w:rsidRPr="00345AA8" w:rsidRDefault="00012F65" w:rsidP="00D6354D">
      <w:pPr>
        <w:jc w:val="left"/>
      </w:pPr>
    </w:p>
    <w:p w:rsidR="00012F65" w:rsidRPr="00345AA8" w:rsidRDefault="00012F65" w:rsidP="00D6354D">
      <w:pPr>
        <w:jc w:val="left"/>
      </w:pPr>
      <w:r w:rsidRPr="00345AA8">
        <w:t>Clarification 61: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012F65" w:rsidRPr="00345AA8" w:rsidTr="00D92DCC">
        <w:trPr>
          <w:jc w:val="center"/>
        </w:trPr>
        <w:tc>
          <w:tcPr>
            <w:tcW w:w="1439" w:type="pct"/>
            <w:shd w:val="clear" w:color="auto" w:fill="E0E0E0"/>
          </w:tcPr>
          <w:p w:rsidR="00012F65" w:rsidRPr="00345AA8" w:rsidRDefault="00012F65" w:rsidP="00D92DCC">
            <w:pPr>
              <w:spacing w:before="60"/>
            </w:pPr>
            <w:r w:rsidRPr="00345AA8">
              <w:lastRenderedPageBreak/>
              <w:t>Tenderer’s Question</w:t>
            </w:r>
          </w:p>
        </w:tc>
        <w:tc>
          <w:tcPr>
            <w:tcW w:w="3561" w:type="pct"/>
          </w:tcPr>
          <w:p w:rsidR="00012F65" w:rsidRPr="00345AA8" w:rsidRDefault="00012F65" w:rsidP="00D92DCC">
            <w:pPr>
              <w:shd w:val="clear" w:color="auto" w:fill="FFFFFF"/>
              <w:spacing w:after="0" w:line="276" w:lineRule="auto"/>
              <w:rPr>
                <w:rFonts w:cs="Segoe UI"/>
              </w:rPr>
            </w:pPr>
            <w:r w:rsidRPr="00345AA8">
              <w:rPr>
                <w:rFonts w:cs="Segoe UI"/>
              </w:rPr>
              <w:t xml:space="preserve"> It is expected that a project of this magnitude would require project management services. We wish to propose these services, would it be something that the Secretariat would consider? </w:t>
            </w:r>
          </w:p>
          <w:p w:rsidR="00012F65" w:rsidRPr="00345AA8" w:rsidRDefault="00012F65" w:rsidP="00D92DCC"/>
        </w:tc>
      </w:tr>
      <w:tr w:rsidR="00012F65" w:rsidRPr="00345AA8" w:rsidTr="00D92DCC">
        <w:trPr>
          <w:jc w:val="center"/>
        </w:trPr>
        <w:tc>
          <w:tcPr>
            <w:tcW w:w="1439" w:type="pct"/>
            <w:shd w:val="clear" w:color="auto" w:fill="E0E0E0"/>
          </w:tcPr>
          <w:p w:rsidR="00012F65" w:rsidRPr="00345AA8" w:rsidRDefault="00012F65" w:rsidP="00D92DCC">
            <w:pPr>
              <w:spacing w:before="60"/>
            </w:pPr>
            <w:r w:rsidRPr="00345AA8">
              <w:t>Answer</w:t>
            </w:r>
          </w:p>
        </w:tc>
        <w:tc>
          <w:tcPr>
            <w:tcW w:w="3561" w:type="pct"/>
          </w:tcPr>
          <w:p w:rsidR="00012F65" w:rsidRPr="00D01CC1" w:rsidRDefault="00012F65" w:rsidP="00D92DCC">
            <w:pPr>
              <w:shd w:val="clear" w:color="auto" w:fill="FFFFFF"/>
              <w:spacing w:after="0" w:line="276" w:lineRule="auto"/>
              <w:rPr>
                <w:rFonts w:cs="Segoe UI"/>
              </w:rPr>
            </w:pPr>
            <w:r w:rsidRPr="00D01CC1">
              <w:rPr>
                <w:rFonts w:cs="Segoe UI"/>
              </w:rPr>
              <w:t>The services for project management will be provided by the consultant retained for the purpose</w:t>
            </w:r>
            <w:r w:rsidR="00345AA8" w:rsidRPr="00D01CC1">
              <w:rPr>
                <w:rFonts w:cs="Segoe UI"/>
              </w:rPr>
              <w:t xml:space="preserve">, as part of the contract. </w:t>
            </w:r>
          </w:p>
          <w:p w:rsidR="00012F65" w:rsidRPr="00345AA8" w:rsidRDefault="00012F65" w:rsidP="00D92DCC"/>
        </w:tc>
      </w:tr>
    </w:tbl>
    <w:p w:rsidR="00012F65" w:rsidRPr="00345AA8" w:rsidRDefault="00012F65" w:rsidP="00D6354D">
      <w:pPr>
        <w:jc w:val="left"/>
      </w:pPr>
    </w:p>
    <w:p w:rsidR="00012F65" w:rsidRPr="00345AA8" w:rsidRDefault="00012F65" w:rsidP="00D6354D">
      <w:pPr>
        <w:jc w:val="left"/>
      </w:pPr>
      <w:r w:rsidRPr="00345AA8">
        <w:t>Clarification 62: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012F65" w:rsidRPr="00345AA8" w:rsidTr="00D92DCC">
        <w:trPr>
          <w:jc w:val="center"/>
        </w:trPr>
        <w:tc>
          <w:tcPr>
            <w:tcW w:w="1439" w:type="pct"/>
            <w:shd w:val="clear" w:color="auto" w:fill="E0E0E0"/>
          </w:tcPr>
          <w:p w:rsidR="00012F65" w:rsidRPr="00345AA8" w:rsidRDefault="00012F65" w:rsidP="00D92DCC">
            <w:pPr>
              <w:spacing w:before="60"/>
            </w:pPr>
            <w:r w:rsidRPr="00345AA8">
              <w:t>Tenderer’s Question</w:t>
            </w:r>
          </w:p>
        </w:tc>
        <w:tc>
          <w:tcPr>
            <w:tcW w:w="3561" w:type="pct"/>
          </w:tcPr>
          <w:p w:rsidR="00012F65" w:rsidRPr="00345AA8" w:rsidRDefault="00012F65" w:rsidP="00D92DCC">
            <w:pPr>
              <w:spacing w:line="276" w:lineRule="auto"/>
            </w:pPr>
            <w:r w:rsidRPr="00345AA8">
              <w:t xml:space="preserve">Are part lots allowed? For instance if we were use Lot 1 as an example, could we tender for Items 1.1 to 1.17 and omit 1.18 and 1.19? </w:t>
            </w:r>
          </w:p>
          <w:p w:rsidR="00012F65" w:rsidRPr="00345AA8" w:rsidRDefault="00012F65" w:rsidP="00D92DCC"/>
        </w:tc>
      </w:tr>
      <w:tr w:rsidR="00012F65" w:rsidRPr="00345AA8" w:rsidTr="00D92DCC">
        <w:trPr>
          <w:jc w:val="center"/>
        </w:trPr>
        <w:tc>
          <w:tcPr>
            <w:tcW w:w="1439" w:type="pct"/>
            <w:shd w:val="clear" w:color="auto" w:fill="E0E0E0"/>
          </w:tcPr>
          <w:p w:rsidR="00012F65" w:rsidRPr="00345AA8" w:rsidRDefault="00012F65" w:rsidP="00D92DCC">
            <w:pPr>
              <w:spacing w:before="60"/>
            </w:pPr>
            <w:r w:rsidRPr="00345AA8">
              <w:t>Answer</w:t>
            </w:r>
          </w:p>
        </w:tc>
        <w:tc>
          <w:tcPr>
            <w:tcW w:w="3561" w:type="pct"/>
          </w:tcPr>
          <w:p w:rsidR="00012F65" w:rsidRPr="00D01CC1" w:rsidRDefault="00012F65" w:rsidP="00D92DCC">
            <w:pPr>
              <w:spacing w:line="276" w:lineRule="auto"/>
            </w:pPr>
            <w:r w:rsidRPr="00D01CC1">
              <w:t>Bidding for partial lots is not permitted. Tenderers must bid for all items within a lot</w:t>
            </w:r>
            <w:r w:rsidR="00345AA8" w:rsidRPr="00D01CC1">
              <w:t>.</w:t>
            </w:r>
            <w:r w:rsidR="00D121D5" w:rsidRPr="00D01CC1">
              <w:t xml:space="preserve"> </w:t>
            </w:r>
            <w:r w:rsidR="00345AA8" w:rsidRPr="00D01CC1">
              <w:t>(</w:t>
            </w:r>
            <w:r w:rsidR="00D121D5" w:rsidRPr="00D01CC1">
              <w:t>Please set point</w:t>
            </w:r>
            <w:r w:rsidR="00345AA8" w:rsidRPr="00D01CC1">
              <w:t xml:space="preserve"> 7.2 of the Instructions to Tenderers). </w:t>
            </w:r>
          </w:p>
          <w:p w:rsidR="00012F65" w:rsidRPr="00345AA8" w:rsidRDefault="00012F65" w:rsidP="00D92DCC"/>
        </w:tc>
      </w:tr>
    </w:tbl>
    <w:p w:rsidR="00012F65" w:rsidRPr="00345AA8" w:rsidRDefault="00012F65" w:rsidP="00D6354D">
      <w:pPr>
        <w:jc w:val="left"/>
      </w:pPr>
    </w:p>
    <w:p w:rsidR="00012F65" w:rsidRPr="00345AA8" w:rsidRDefault="00012F65" w:rsidP="00D6354D">
      <w:pPr>
        <w:jc w:val="left"/>
      </w:pPr>
      <w:r w:rsidRPr="00345AA8">
        <w:t>Clarification 63: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73557A" w:rsidRPr="00345AA8" w:rsidTr="00D92DCC">
        <w:trPr>
          <w:jc w:val="center"/>
        </w:trPr>
        <w:tc>
          <w:tcPr>
            <w:tcW w:w="1439" w:type="pct"/>
            <w:shd w:val="clear" w:color="auto" w:fill="E0E0E0"/>
          </w:tcPr>
          <w:p w:rsidR="0073557A" w:rsidRPr="00345AA8" w:rsidRDefault="0073557A" w:rsidP="00D92DCC">
            <w:pPr>
              <w:spacing w:before="60"/>
            </w:pPr>
            <w:r w:rsidRPr="00345AA8">
              <w:t>Tenderer’s Question</w:t>
            </w:r>
          </w:p>
        </w:tc>
        <w:tc>
          <w:tcPr>
            <w:tcW w:w="3561" w:type="pct"/>
          </w:tcPr>
          <w:p w:rsidR="0073557A" w:rsidRPr="00345AA8" w:rsidRDefault="0073557A" w:rsidP="00D92DCC">
            <w:pPr>
              <w:spacing w:line="276" w:lineRule="auto"/>
            </w:pPr>
            <w:r w:rsidRPr="00345AA8">
              <w:t>ANNEXIV: Budget Breakdown</w:t>
            </w:r>
          </w:p>
          <w:p w:rsidR="0073557A" w:rsidRPr="00345AA8" w:rsidRDefault="0073557A" w:rsidP="00D92DCC">
            <w:pPr>
              <w:spacing w:line="276" w:lineRule="auto"/>
            </w:pPr>
            <w:r w:rsidRPr="00345AA8">
              <w:t>We understand that items presented under the “Total” row of the Budget Breakdown table do not participate in the total price that will be used for the evaluation of the tender. As presented in the tender documents, spare parts and consumables are in this category. What does CARICOM require in the third reference to “annex including unit prices”   in the table Budget Breakdown of Annex IV for Lot 1? Can you give examples</w:t>
            </w:r>
          </w:p>
        </w:tc>
      </w:tr>
      <w:tr w:rsidR="0073557A" w:rsidRPr="00345AA8" w:rsidTr="00D92DCC">
        <w:trPr>
          <w:jc w:val="center"/>
        </w:trPr>
        <w:tc>
          <w:tcPr>
            <w:tcW w:w="1439" w:type="pct"/>
            <w:shd w:val="clear" w:color="auto" w:fill="E0E0E0"/>
          </w:tcPr>
          <w:p w:rsidR="0073557A" w:rsidRPr="00345AA8" w:rsidRDefault="0073557A" w:rsidP="00D92DCC">
            <w:pPr>
              <w:spacing w:before="60"/>
            </w:pPr>
            <w:r w:rsidRPr="00345AA8">
              <w:t>Answer</w:t>
            </w:r>
          </w:p>
        </w:tc>
        <w:tc>
          <w:tcPr>
            <w:tcW w:w="3561" w:type="pct"/>
          </w:tcPr>
          <w:p w:rsidR="0073557A" w:rsidRPr="00345AA8" w:rsidRDefault="00D121D5" w:rsidP="00D121D5">
            <w:r>
              <w:t>While tenderers are expected to use their professional experience in matters of this nature, a</w:t>
            </w:r>
            <w:r w:rsidR="0073557A" w:rsidRPr="00345AA8">
              <w:t xml:space="preserve">n </w:t>
            </w:r>
            <w:r>
              <w:t>annex detailing each spare part and consumable</w:t>
            </w:r>
            <w:r w:rsidR="0073557A" w:rsidRPr="00345AA8">
              <w:t xml:space="preserve"> recommended can be presented as a separate sheet. The Annex IV Budget Breakdown will give a summary of the total cost for spare parts and consumables.</w:t>
            </w:r>
          </w:p>
        </w:tc>
      </w:tr>
    </w:tbl>
    <w:p w:rsidR="00012F65" w:rsidRPr="00345AA8" w:rsidRDefault="00012F65" w:rsidP="00D6354D">
      <w:pPr>
        <w:jc w:val="left"/>
      </w:pPr>
    </w:p>
    <w:p w:rsidR="0073557A" w:rsidRPr="00345AA8" w:rsidRDefault="0073557A" w:rsidP="00D6354D">
      <w:pPr>
        <w:jc w:val="left"/>
      </w:pPr>
      <w:r w:rsidRPr="00345AA8">
        <w:t>Clarification 64: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73557A" w:rsidRPr="00345AA8" w:rsidTr="00D92DCC">
        <w:trPr>
          <w:jc w:val="center"/>
        </w:trPr>
        <w:tc>
          <w:tcPr>
            <w:tcW w:w="1439" w:type="pct"/>
            <w:shd w:val="clear" w:color="auto" w:fill="E0E0E0"/>
          </w:tcPr>
          <w:p w:rsidR="0073557A" w:rsidRPr="00345AA8" w:rsidRDefault="0073557A" w:rsidP="00D92DCC">
            <w:pPr>
              <w:spacing w:before="60"/>
            </w:pPr>
            <w:r w:rsidRPr="00345AA8">
              <w:t>Tenderer’s Question</w:t>
            </w:r>
          </w:p>
        </w:tc>
        <w:tc>
          <w:tcPr>
            <w:tcW w:w="3561" w:type="pct"/>
          </w:tcPr>
          <w:p w:rsidR="0073557A" w:rsidRPr="00345AA8" w:rsidRDefault="0073557A" w:rsidP="00D92DCC">
            <w:pPr>
              <w:spacing w:line="276" w:lineRule="auto"/>
            </w:pPr>
            <w:r w:rsidRPr="00345AA8">
              <w:t xml:space="preserve">ANNEX IV: Budget Breakdown </w:t>
            </w:r>
          </w:p>
          <w:p w:rsidR="0073557A" w:rsidRPr="00345AA8" w:rsidRDefault="0073557A" w:rsidP="00D92DCC">
            <w:pPr>
              <w:spacing w:line="276" w:lineRule="auto"/>
            </w:pPr>
            <w:r w:rsidRPr="00345AA8">
              <w:t>Please define other services for Lot 1 Are services such as the following considered “Other Services” for Lot 1 (we also refer to Annex II and III- Technical Specifications pages 3-4?</w:t>
            </w:r>
          </w:p>
          <w:p w:rsidR="0073557A" w:rsidRPr="00345AA8" w:rsidRDefault="0073557A" w:rsidP="00D92DCC">
            <w:pPr>
              <w:spacing w:line="276" w:lineRule="auto"/>
            </w:pPr>
            <w:r w:rsidRPr="00345AA8">
              <w:t>-Set up of Infrastructure</w:t>
            </w:r>
          </w:p>
          <w:p w:rsidR="0073557A" w:rsidRPr="00345AA8" w:rsidRDefault="0073557A" w:rsidP="00D92DCC">
            <w:pPr>
              <w:spacing w:line="276" w:lineRule="auto"/>
            </w:pPr>
            <w:r w:rsidRPr="00345AA8">
              <w:t>-Delivery and Installation of HW</w:t>
            </w:r>
          </w:p>
          <w:p w:rsidR="0073557A" w:rsidRPr="00345AA8" w:rsidRDefault="0073557A" w:rsidP="00D92DCC">
            <w:pPr>
              <w:spacing w:line="276" w:lineRule="auto"/>
            </w:pPr>
            <w:r w:rsidRPr="00345AA8">
              <w:t>-Development and Installation of SW</w:t>
            </w:r>
          </w:p>
          <w:p w:rsidR="0073557A" w:rsidRPr="00345AA8" w:rsidRDefault="0073557A" w:rsidP="00D92DCC">
            <w:pPr>
              <w:spacing w:line="276" w:lineRule="auto"/>
            </w:pPr>
            <w:r w:rsidRPr="00345AA8">
              <w:t>- Testing and fine-tuning</w:t>
            </w:r>
          </w:p>
          <w:p w:rsidR="0073557A" w:rsidRPr="00345AA8" w:rsidRDefault="0073557A" w:rsidP="00D92DCC">
            <w:pPr>
              <w:spacing w:line="276" w:lineRule="auto"/>
            </w:pPr>
            <w:r w:rsidRPr="00345AA8">
              <w:t>-Development of national notice boards</w:t>
            </w:r>
          </w:p>
          <w:p w:rsidR="0073557A" w:rsidRPr="00345AA8" w:rsidRDefault="0073557A" w:rsidP="00D92DCC">
            <w:pPr>
              <w:spacing w:line="276" w:lineRule="auto"/>
            </w:pPr>
            <w:r w:rsidRPr="00345AA8">
              <w:t>- Interoperability with existing platforms</w:t>
            </w:r>
          </w:p>
          <w:p w:rsidR="0073557A" w:rsidRPr="00345AA8" w:rsidRDefault="0073557A" w:rsidP="00D92DCC">
            <w:pPr>
              <w:spacing w:line="276" w:lineRule="auto"/>
            </w:pPr>
            <w:r w:rsidRPr="00345AA8">
              <w:t>Should bidders provide a separate item per each one of the “other service” or does CARICOM require a single lump sum quotation for the entire set of “other services” for Lot 1?</w:t>
            </w:r>
          </w:p>
        </w:tc>
      </w:tr>
      <w:tr w:rsidR="0073557A" w:rsidRPr="00345AA8" w:rsidTr="00D92DCC">
        <w:trPr>
          <w:jc w:val="center"/>
        </w:trPr>
        <w:tc>
          <w:tcPr>
            <w:tcW w:w="1439" w:type="pct"/>
            <w:shd w:val="clear" w:color="auto" w:fill="E0E0E0"/>
          </w:tcPr>
          <w:p w:rsidR="0073557A" w:rsidRPr="00345AA8" w:rsidRDefault="0073557A" w:rsidP="00D92DCC">
            <w:pPr>
              <w:spacing w:before="60"/>
            </w:pPr>
            <w:r w:rsidRPr="00345AA8">
              <w:t>Answer</w:t>
            </w:r>
          </w:p>
        </w:tc>
        <w:tc>
          <w:tcPr>
            <w:tcW w:w="3561" w:type="pct"/>
          </w:tcPr>
          <w:p w:rsidR="0073557A" w:rsidRPr="00345AA8" w:rsidRDefault="00D114BD" w:rsidP="00D92DCC">
            <w:r w:rsidRPr="00345AA8">
              <w:t>A single quotation for other services should be presented.</w:t>
            </w:r>
          </w:p>
        </w:tc>
      </w:tr>
    </w:tbl>
    <w:p w:rsidR="0073557A" w:rsidRPr="00345AA8" w:rsidRDefault="0073557A" w:rsidP="00D6354D">
      <w:pPr>
        <w:jc w:val="left"/>
      </w:pPr>
    </w:p>
    <w:p w:rsidR="0073557A" w:rsidRPr="00345AA8" w:rsidRDefault="0073557A" w:rsidP="00D6354D">
      <w:pPr>
        <w:jc w:val="left"/>
      </w:pPr>
      <w:r w:rsidRPr="00345AA8">
        <w:t>Clarification 65: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73557A" w:rsidRPr="00345AA8" w:rsidTr="00D92DCC">
        <w:trPr>
          <w:jc w:val="center"/>
        </w:trPr>
        <w:tc>
          <w:tcPr>
            <w:tcW w:w="1439" w:type="pct"/>
            <w:shd w:val="clear" w:color="auto" w:fill="E0E0E0"/>
          </w:tcPr>
          <w:p w:rsidR="0073557A" w:rsidRPr="00345AA8" w:rsidRDefault="0073557A" w:rsidP="00D92DCC">
            <w:pPr>
              <w:spacing w:before="60"/>
            </w:pPr>
            <w:r w:rsidRPr="00345AA8">
              <w:t>Tenderer’s Question</w:t>
            </w:r>
          </w:p>
        </w:tc>
        <w:tc>
          <w:tcPr>
            <w:tcW w:w="3561" w:type="pct"/>
          </w:tcPr>
          <w:p w:rsidR="0073557A" w:rsidRPr="00345AA8" w:rsidRDefault="0073557A" w:rsidP="00D92DCC">
            <w:r w:rsidRPr="00345AA8">
              <w:t>Economic and Financial capacity of tenderer</w:t>
            </w:r>
          </w:p>
          <w:p w:rsidR="0073557A" w:rsidRPr="00345AA8" w:rsidRDefault="0073557A" w:rsidP="0073557A">
            <w:pPr>
              <w:pStyle w:val="ListParagraph"/>
              <w:numPr>
                <w:ilvl w:val="0"/>
                <w:numId w:val="46"/>
              </w:numPr>
              <w:rPr>
                <w:i/>
              </w:rPr>
            </w:pPr>
            <w:r w:rsidRPr="00345AA8">
              <w:rPr>
                <w:i/>
              </w:rPr>
              <w:t xml:space="preserve">Economic and financial capacity of tenderer (based on </w:t>
            </w:r>
            <w:proofErr w:type="spellStart"/>
            <w:r w:rsidRPr="00345AA8">
              <w:rPr>
                <w:i/>
              </w:rPr>
              <w:t>i.a</w:t>
            </w:r>
            <w:proofErr w:type="spellEnd"/>
            <w:r w:rsidRPr="00345AA8">
              <w:rPr>
                <w:i/>
              </w:rPr>
              <w:t>. item 3 of the Tender Form for a Supply Contract). In case of tenderers being a public body, equivalent information should be provided. The reference period which will be taken into account will be the last three years for which accounts have been closed.</w:t>
            </w:r>
          </w:p>
          <w:p w:rsidR="0073557A" w:rsidRPr="00345AA8" w:rsidRDefault="0073557A" w:rsidP="0073557A">
            <w:pPr>
              <w:pStyle w:val="ListParagraph"/>
              <w:numPr>
                <w:ilvl w:val="0"/>
                <w:numId w:val="46"/>
              </w:numPr>
              <w:rPr>
                <w:i/>
              </w:rPr>
            </w:pPr>
            <w:r w:rsidRPr="00345AA8">
              <w:rPr>
                <w:i/>
              </w:rPr>
              <w:t>Please complete the following table of financial data based on your annual accounts and your latest projections. If annual accounts are not yet available for this year or last year, please provide your latest estimates, clearly identifying estimated figures in italics.</w:t>
            </w:r>
          </w:p>
          <w:p w:rsidR="0073557A" w:rsidRPr="00345AA8" w:rsidRDefault="0073557A" w:rsidP="00D92DCC">
            <w:pPr>
              <w:pStyle w:val="ListParagraph"/>
            </w:pPr>
          </w:p>
          <w:p w:rsidR="0073557A" w:rsidRPr="00345AA8" w:rsidRDefault="0073557A" w:rsidP="00D92DCC">
            <w:pPr>
              <w:pStyle w:val="ListParagraph"/>
            </w:pPr>
            <w:r w:rsidRPr="00345AA8">
              <w:t>According to your instruction presented in the form “Last year=last accounting year for entity”. To our understanding this refers to a complete accounting year. Therefore, in the case of accounts for the accounting year 2015 are not yet officially closed, data for the years 2012, 2013, 2014 and 2015 should be presented in the form considering “”This year” the year 2015. Please confirm.</w:t>
            </w:r>
          </w:p>
        </w:tc>
      </w:tr>
      <w:tr w:rsidR="0073557A" w:rsidRPr="00345AA8" w:rsidTr="00D92DCC">
        <w:trPr>
          <w:jc w:val="center"/>
        </w:trPr>
        <w:tc>
          <w:tcPr>
            <w:tcW w:w="1439" w:type="pct"/>
            <w:shd w:val="clear" w:color="auto" w:fill="E0E0E0"/>
          </w:tcPr>
          <w:p w:rsidR="0073557A" w:rsidRPr="00345AA8" w:rsidRDefault="0073557A" w:rsidP="00D92DCC">
            <w:pPr>
              <w:spacing w:before="60"/>
            </w:pPr>
            <w:r w:rsidRPr="00345AA8">
              <w:t>Answer</w:t>
            </w:r>
          </w:p>
        </w:tc>
        <w:tc>
          <w:tcPr>
            <w:tcW w:w="3561" w:type="pct"/>
          </w:tcPr>
          <w:p w:rsidR="0073557A" w:rsidRPr="00345AA8" w:rsidRDefault="00BF2CF1" w:rsidP="00D92DCC">
            <w:r w:rsidRPr="00345AA8">
              <w:t>This year is the year 2016, accounts can be presented for last year 2015. As indicated estimated figures should be indicated with italics</w:t>
            </w:r>
          </w:p>
        </w:tc>
      </w:tr>
    </w:tbl>
    <w:p w:rsidR="0073557A" w:rsidRPr="00345AA8" w:rsidRDefault="0073557A" w:rsidP="00D6354D">
      <w:pPr>
        <w:jc w:val="left"/>
      </w:pPr>
    </w:p>
    <w:p w:rsidR="00012F65" w:rsidRPr="00345AA8" w:rsidRDefault="00BF2CF1" w:rsidP="00D6354D">
      <w:pPr>
        <w:jc w:val="left"/>
      </w:pPr>
      <w:r w:rsidRPr="00345AA8">
        <w:t>Clarification 66: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BF2CF1" w:rsidRPr="00345AA8" w:rsidTr="00D92DCC">
        <w:trPr>
          <w:jc w:val="center"/>
        </w:trPr>
        <w:tc>
          <w:tcPr>
            <w:tcW w:w="1439" w:type="pct"/>
            <w:shd w:val="clear" w:color="auto" w:fill="E0E0E0"/>
          </w:tcPr>
          <w:p w:rsidR="00BF2CF1" w:rsidRPr="00345AA8" w:rsidRDefault="00BF2CF1" w:rsidP="00D92DCC">
            <w:pPr>
              <w:spacing w:before="60"/>
            </w:pPr>
            <w:r w:rsidRPr="00345AA8">
              <w:t>Tenderer’s Question</w:t>
            </w:r>
          </w:p>
        </w:tc>
        <w:tc>
          <w:tcPr>
            <w:tcW w:w="3561" w:type="pct"/>
          </w:tcPr>
          <w:p w:rsidR="00BF2CF1" w:rsidRPr="00345AA8" w:rsidRDefault="00BF2CF1" w:rsidP="00D92DCC">
            <w:pPr>
              <w:shd w:val="clear" w:color="auto" w:fill="FFFFFF"/>
              <w:spacing w:after="0"/>
              <w:ind w:hanging="360"/>
              <w:jc w:val="center"/>
              <w:rPr>
                <w:rFonts w:cs="Segoe UI"/>
                <w:color w:val="282828"/>
              </w:rPr>
            </w:pPr>
            <w:r w:rsidRPr="00345AA8">
              <w:rPr>
                <w:rFonts w:cs="Segoe UI"/>
                <w:b/>
                <w:bCs/>
                <w:color w:val="282828"/>
              </w:rPr>
              <w:t>Validity Microsoft Price changes</w:t>
            </w:r>
          </w:p>
          <w:p w:rsidR="00BF2CF1" w:rsidRPr="00345AA8" w:rsidRDefault="00BF2CF1" w:rsidP="00D92DCC">
            <w:pPr>
              <w:shd w:val="clear" w:color="auto" w:fill="FFFFFF"/>
              <w:spacing w:after="0"/>
              <w:rPr>
                <w:rFonts w:cs="Segoe UI"/>
                <w:color w:val="282828"/>
              </w:rPr>
            </w:pPr>
            <w:r w:rsidRPr="00345AA8">
              <w:rPr>
                <w:rFonts w:cs="Segoe UI"/>
                <w:color w:val="282828"/>
              </w:rPr>
              <w:t>The prices of Microsoft products are set by a price list that is being released every 1</w:t>
            </w:r>
            <w:r w:rsidRPr="00345AA8">
              <w:rPr>
                <w:rFonts w:cs="Segoe UI"/>
                <w:color w:val="282828"/>
                <w:vertAlign w:val="superscript"/>
              </w:rPr>
              <w:t>st</w:t>
            </w:r>
            <w:r w:rsidRPr="00345AA8">
              <w:rPr>
                <w:rFonts w:cs="Segoe UI"/>
                <w:color w:val="282828"/>
              </w:rPr>
              <w:t> of the month. Considering the validity for a period 90 days from the deadline and further period of 60 days if successful – it’s likely that the prices would change.</w:t>
            </w:r>
          </w:p>
          <w:p w:rsidR="00BF2CF1" w:rsidRPr="00345AA8" w:rsidRDefault="00BF2CF1" w:rsidP="00D92DCC">
            <w:pPr>
              <w:shd w:val="clear" w:color="auto" w:fill="FFFFFF"/>
              <w:spacing w:after="0"/>
              <w:rPr>
                <w:rFonts w:cs="Segoe UI"/>
                <w:color w:val="282828"/>
              </w:rPr>
            </w:pPr>
            <w:r w:rsidRPr="00345AA8">
              <w:rPr>
                <w:rFonts w:cs="Segoe UI"/>
                <w:color w:val="282828"/>
              </w:rPr>
              <w:t> </w:t>
            </w:r>
          </w:p>
          <w:p w:rsidR="00BF2CF1" w:rsidRPr="00345AA8" w:rsidRDefault="00BF2CF1" w:rsidP="00D92DCC">
            <w:pPr>
              <w:shd w:val="clear" w:color="auto" w:fill="FFFFFF"/>
              <w:spacing w:after="0"/>
              <w:rPr>
                <w:rFonts w:cs="Segoe UI"/>
                <w:color w:val="282828"/>
              </w:rPr>
            </w:pPr>
            <w:r w:rsidRPr="00345AA8">
              <w:rPr>
                <w:rFonts w:cs="Segoe UI"/>
                <w:color w:val="282828"/>
              </w:rPr>
              <w:t>Also note that, the validity period passes the Microsoft Financial Year 2015/16. In Microsoft’s new financial year starting July 1</w:t>
            </w:r>
            <w:r w:rsidRPr="00345AA8">
              <w:rPr>
                <w:rFonts w:cs="Segoe UI"/>
                <w:color w:val="282828"/>
                <w:vertAlign w:val="superscript"/>
              </w:rPr>
              <w:t>st</w:t>
            </w:r>
            <w:r w:rsidRPr="00345AA8">
              <w:rPr>
                <w:rFonts w:cs="Segoe UI"/>
                <w:color w:val="282828"/>
              </w:rPr>
              <w:t> a significant price increase can be expected as it line with the trends of Microsoft over the years. This results in a higher priced licenses as the vendors are likely to increase prices to anticipate on the price increase.</w:t>
            </w:r>
          </w:p>
          <w:p w:rsidR="00BF2CF1" w:rsidRPr="00345AA8" w:rsidRDefault="00BF2CF1" w:rsidP="00D92DCC">
            <w:pPr>
              <w:shd w:val="clear" w:color="auto" w:fill="FFFFFF"/>
              <w:spacing w:after="0"/>
              <w:rPr>
                <w:rFonts w:cs="Segoe UI"/>
                <w:color w:val="282828"/>
              </w:rPr>
            </w:pPr>
            <w:r w:rsidRPr="00345AA8">
              <w:rPr>
                <w:rFonts w:cs="Segoe UI"/>
                <w:color w:val="282828"/>
              </w:rPr>
              <w:t> </w:t>
            </w:r>
          </w:p>
          <w:p w:rsidR="00BF2CF1" w:rsidRPr="00345AA8" w:rsidRDefault="00BF2CF1" w:rsidP="00D92DCC">
            <w:pPr>
              <w:shd w:val="clear" w:color="auto" w:fill="FFFFFF"/>
              <w:spacing w:after="0"/>
              <w:rPr>
                <w:rFonts w:cs="Segoe UI"/>
                <w:color w:val="282828"/>
              </w:rPr>
            </w:pPr>
            <w:r w:rsidRPr="00345AA8">
              <w:rPr>
                <w:rFonts w:cs="Segoe UI"/>
                <w:color w:val="282828"/>
              </w:rPr>
              <w:t>What is the committee take on this note?</w:t>
            </w:r>
          </w:p>
          <w:p w:rsidR="00BF2CF1" w:rsidRPr="00345AA8" w:rsidRDefault="00BF2CF1" w:rsidP="00D92DCC"/>
        </w:tc>
      </w:tr>
      <w:tr w:rsidR="00BF2CF1" w:rsidRPr="00345AA8" w:rsidTr="00D92DCC">
        <w:trPr>
          <w:jc w:val="center"/>
        </w:trPr>
        <w:tc>
          <w:tcPr>
            <w:tcW w:w="1439" w:type="pct"/>
            <w:shd w:val="clear" w:color="auto" w:fill="E0E0E0"/>
          </w:tcPr>
          <w:p w:rsidR="00BF2CF1" w:rsidRPr="00345AA8" w:rsidRDefault="00BF2CF1" w:rsidP="00D92DCC">
            <w:pPr>
              <w:spacing w:before="60"/>
            </w:pPr>
            <w:r w:rsidRPr="00F675CF">
              <w:t>Answer</w:t>
            </w:r>
          </w:p>
        </w:tc>
        <w:tc>
          <w:tcPr>
            <w:tcW w:w="3561" w:type="pct"/>
          </w:tcPr>
          <w:p w:rsidR="00BF2CF1" w:rsidRPr="00345AA8" w:rsidRDefault="007D7820" w:rsidP="00D121D5">
            <w:r>
              <w:t>Tenderers are encouraged to use their knowledge of the market to present</w:t>
            </w:r>
            <w:r w:rsidR="00D121D5">
              <w:t xml:space="preserve"> the most</w:t>
            </w:r>
            <w:r>
              <w:t xml:space="preserve"> competitive price.     </w:t>
            </w:r>
          </w:p>
        </w:tc>
      </w:tr>
    </w:tbl>
    <w:p w:rsidR="00BF2CF1" w:rsidRPr="00345AA8" w:rsidRDefault="00BF2CF1" w:rsidP="00D6354D">
      <w:pPr>
        <w:jc w:val="left"/>
      </w:pPr>
    </w:p>
    <w:p w:rsidR="00BF2CF1" w:rsidRPr="00345AA8" w:rsidRDefault="00BF2CF1" w:rsidP="00D6354D">
      <w:pPr>
        <w:jc w:val="left"/>
      </w:pPr>
      <w:r w:rsidRPr="00345AA8">
        <w:t>Clarification 67: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BF2CF1" w:rsidRPr="00345AA8" w:rsidTr="00D92DCC">
        <w:trPr>
          <w:jc w:val="center"/>
        </w:trPr>
        <w:tc>
          <w:tcPr>
            <w:tcW w:w="1439" w:type="pct"/>
            <w:shd w:val="clear" w:color="auto" w:fill="E0E0E0"/>
          </w:tcPr>
          <w:p w:rsidR="00BF2CF1" w:rsidRPr="00345AA8" w:rsidRDefault="00BF2CF1" w:rsidP="00D92DCC">
            <w:pPr>
              <w:spacing w:before="60"/>
            </w:pPr>
            <w:r w:rsidRPr="00345AA8">
              <w:t>Tenderer’s Question</w:t>
            </w:r>
          </w:p>
        </w:tc>
        <w:tc>
          <w:tcPr>
            <w:tcW w:w="3561" w:type="pct"/>
          </w:tcPr>
          <w:p w:rsidR="00BF2CF1" w:rsidRPr="00345AA8" w:rsidRDefault="00BF2CF1" w:rsidP="00D92DCC">
            <w:pPr>
              <w:shd w:val="clear" w:color="auto" w:fill="FFFFFF"/>
              <w:spacing w:after="0"/>
              <w:rPr>
                <w:rFonts w:cs="Segoe UI"/>
                <w:color w:val="282828"/>
              </w:rPr>
            </w:pPr>
            <w:proofErr w:type="spellStart"/>
            <w:r w:rsidRPr="00345AA8">
              <w:rPr>
                <w:rFonts w:cs="Segoe UI"/>
                <w:color w:val="282828"/>
              </w:rPr>
              <w:t>Caricom</w:t>
            </w:r>
            <w:proofErr w:type="spellEnd"/>
            <w:r w:rsidRPr="00345AA8">
              <w:rPr>
                <w:rFonts w:cs="Segoe UI"/>
                <w:color w:val="282828"/>
              </w:rPr>
              <w:t xml:space="preserve"> has currently a Select Plus Agreement with us. Can these licenses be ordered under that same contract?</w:t>
            </w:r>
          </w:p>
          <w:p w:rsidR="00BF2CF1" w:rsidRPr="00345AA8" w:rsidRDefault="00BF2CF1" w:rsidP="00D92DCC">
            <w:pPr>
              <w:shd w:val="clear" w:color="auto" w:fill="FFFFFF"/>
              <w:spacing w:after="0"/>
              <w:rPr>
                <w:rFonts w:cs="Segoe UI"/>
                <w:color w:val="282828"/>
              </w:rPr>
            </w:pPr>
            <w:r w:rsidRPr="00345AA8">
              <w:rPr>
                <w:rFonts w:cs="Segoe UI"/>
                <w:color w:val="282828"/>
              </w:rPr>
              <w:t>Note that: starting a new Microsoft Volume Licensing Agreement requires a minimum of 5 licenses per secretariat.</w:t>
            </w:r>
          </w:p>
          <w:p w:rsidR="00BF2CF1" w:rsidRPr="00345AA8" w:rsidRDefault="00BF2CF1" w:rsidP="00D92DCC">
            <w:pPr>
              <w:shd w:val="clear" w:color="auto" w:fill="FFFFFF"/>
              <w:spacing w:after="0"/>
              <w:rPr>
                <w:rFonts w:cs="Segoe UI"/>
                <w:color w:val="282828"/>
              </w:rPr>
            </w:pPr>
            <w:r w:rsidRPr="00345AA8">
              <w:rPr>
                <w:rFonts w:cs="Segoe UI"/>
                <w:color w:val="282828"/>
              </w:rPr>
              <w:t> </w:t>
            </w:r>
          </w:p>
          <w:p w:rsidR="00BF2CF1" w:rsidRPr="00345AA8" w:rsidRDefault="00BF2CF1" w:rsidP="00D92DCC">
            <w:pPr>
              <w:shd w:val="clear" w:color="auto" w:fill="FFFFFF"/>
              <w:spacing w:after="0"/>
              <w:rPr>
                <w:rFonts w:cs="Segoe UI"/>
                <w:color w:val="282828"/>
              </w:rPr>
            </w:pPr>
            <w:r w:rsidRPr="00345AA8">
              <w:rPr>
                <w:rFonts w:cs="Segoe UI"/>
                <w:color w:val="282828"/>
              </w:rPr>
              <w:t>What’s the view of the committee on this matter?</w:t>
            </w:r>
          </w:p>
          <w:p w:rsidR="00BF2CF1" w:rsidRPr="00345AA8" w:rsidRDefault="00BF2CF1" w:rsidP="00D92DCC">
            <w:pPr>
              <w:spacing w:line="276" w:lineRule="auto"/>
            </w:pPr>
          </w:p>
        </w:tc>
      </w:tr>
      <w:tr w:rsidR="00BF2CF1" w:rsidRPr="00345AA8" w:rsidTr="00D92DCC">
        <w:trPr>
          <w:jc w:val="center"/>
        </w:trPr>
        <w:tc>
          <w:tcPr>
            <w:tcW w:w="1439" w:type="pct"/>
            <w:shd w:val="clear" w:color="auto" w:fill="E0E0E0"/>
          </w:tcPr>
          <w:p w:rsidR="00BF2CF1" w:rsidRPr="00345AA8" w:rsidRDefault="00BF2CF1" w:rsidP="00D92DCC">
            <w:pPr>
              <w:spacing w:before="60"/>
              <w:rPr>
                <w:highlight w:val="green"/>
              </w:rPr>
            </w:pPr>
            <w:r w:rsidRPr="00F675CF">
              <w:t>Answer</w:t>
            </w:r>
          </w:p>
        </w:tc>
        <w:tc>
          <w:tcPr>
            <w:tcW w:w="3561" w:type="pct"/>
          </w:tcPr>
          <w:p w:rsidR="00BF2CF1" w:rsidRPr="00345AA8" w:rsidRDefault="009A3782" w:rsidP="00D121D5">
            <w:r>
              <w:t>It</w:t>
            </w:r>
            <w:r w:rsidR="00B92366">
              <w:t xml:space="preserve"> is possible for any vendor to purchase licenses</w:t>
            </w:r>
            <w:r>
              <w:t xml:space="preserve"> under the current </w:t>
            </w:r>
            <w:r w:rsidR="00B92366">
              <w:t>S</w:t>
            </w:r>
            <w:r>
              <w:t xml:space="preserve">elect </w:t>
            </w:r>
            <w:r w:rsidR="00B92366">
              <w:t>Plus Agreement</w:t>
            </w:r>
            <w:r>
              <w:t>.</w:t>
            </w:r>
          </w:p>
        </w:tc>
      </w:tr>
    </w:tbl>
    <w:p w:rsidR="00BF2CF1" w:rsidRPr="00345AA8" w:rsidRDefault="00BF2CF1" w:rsidP="00D6354D">
      <w:pPr>
        <w:jc w:val="left"/>
      </w:pPr>
    </w:p>
    <w:p w:rsidR="00BF2CF1" w:rsidRPr="00345AA8" w:rsidRDefault="00BF2CF1" w:rsidP="00D6354D">
      <w:pPr>
        <w:jc w:val="left"/>
      </w:pPr>
      <w:r w:rsidRPr="00345AA8">
        <w:t>Clarification 68: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BF2CF1" w:rsidRPr="00345AA8" w:rsidTr="00D92DCC">
        <w:trPr>
          <w:jc w:val="center"/>
        </w:trPr>
        <w:tc>
          <w:tcPr>
            <w:tcW w:w="1439" w:type="pct"/>
            <w:shd w:val="clear" w:color="auto" w:fill="E0E0E0"/>
          </w:tcPr>
          <w:p w:rsidR="00BF2CF1" w:rsidRPr="00345AA8" w:rsidRDefault="00BF2CF1" w:rsidP="00D92DCC">
            <w:pPr>
              <w:spacing w:before="60"/>
            </w:pPr>
            <w:r w:rsidRPr="00345AA8">
              <w:lastRenderedPageBreak/>
              <w:t>Tenderer’s Question</w:t>
            </w:r>
          </w:p>
        </w:tc>
        <w:tc>
          <w:tcPr>
            <w:tcW w:w="3561" w:type="pct"/>
          </w:tcPr>
          <w:p w:rsidR="00BF2CF1" w:rsidRPr="00345AA8" w:rsidRDefault="00BF2CF1" w:rsidP="00D92DCC">
            <w:pPr>
              <w:spacing w:line="276" w:lineRule="auto"/>
            </w:pPr>
            <w:r w:rsidRPr="00345AA8">
              <w:t xml:space="preserve">The </w:t>
            </w:r>
            <w:proofErr w:type="spellStart"/>
            <w:r w:rsidRPr="00345AA8">
              <w:t>eval</w:t>
            </w:r>
            <w:proofErr w:type="spellEnd"/>
            <w:r w:rsidRPr="00345AA8">
              <w:t xml:space="preserve"> grid documents show a number of selection criteria. Must all these criteria be answered with a yes? Does a no on one of the questions lead to exclusion from the tender process?</w:t>
            </w:r>
          </w:p>
        </w:tc>
      </w:tr>
      <w:tr w:rsidR="00BF2CF1" w:rsidRPr="00345AA8" w:rsidTr="00D92DCC">
        <w:trPr>
          <w:jc w:val="center"/>
        </w:trPr>
        <w:tc>
          <w:tcPr>
            <w:tcW w:w="1439" w:type="pct"/>
            <w:shd w:val="clear" w:color="auto" w:fill="E0E0E0"/>
          </w:tcPr>
          <w:p w:rsidR="00BF2CF1" w:rsidRPr="00345AA8" w:rsidRDefault="00BF2CF1" w:rsidP="00D92DCC">
            <w:pPr>
              <w:spacing w:before="60"/>
            </w:pPr>
            <w:r w:rsidRPr="00345AA8">
              <w:t>Answer</w:t>
            </w:r>
          </w:p>
        </w:tc>
        <w:tc>
          <w:tcPr>
            <w:tcW w:w="3561" w:type="pct"/>
          </w:tcPr>
          <w:p w:rsidR="00BF2CF1" w:rsidRPr="00345AA8" w:rsidRDefault="00B92366" w:rsidP="00B92366">
            <w:r>
              <w:t xml:space="preserve">It is expected  that all of </w:t>
            </w:r>
            <w:r w:rsidR="00D114BD" w:rsidRPr="00345AA8">
              <w:t xml:space="preserve"> the selection </w:t>
            </w:r>
            <w:r w:rsidRPr="00345AA8">
              <w:t>criteria</w:t>
            </w:r>
            <w:r>
              <w:t xml:space="preserve"> will be </w:t>
            </w:r>
            <w:r w:rsidR="00D114BD" w:rsidRPr="00345AA8">
              <w:t xml:space="preserve"> met</w:t>
            </w:r>
          </w:p>
        </w:tc>
      </w:tr>
    </w:tbl>
    <w:p w:rsidR="00BF2CF1" w:rsidRPr="00345AA8" w:rsidRDefault="00BF2CF1" w:rsidP="00D6354D">
      <w:pPr>
        <w:jc w:val="left"/>
      </w:pPr>
    </w:p>
    <w:p w:rsidR="00BF2CF1" w:rsidRPr="00345AA8" w:rsidRDefault="00BF2CF1" w:rsidP="00D6354D">
      <w:pPr>
        <w:jc w:val="left"/>
      </w:pPr>
      <w:r w:rsidRPr="00345AA8">
        <w:t>Clarification 69: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BF2CF1" w:rsidRPr="00345AA8" w:rsidTr="00D92DCC">
        <w:trPr>
          <w:jc w:val="center"/>
        </w:trPr>
        <w:tc>
          <w:tcPr>
            <w:tcW w:w="1439" w:type="pct"/>
            <w:shd w:val="clear" w:color="auto" w:fill="E0E0E0"/>
          </w:tcPr>
          <w:p w:rsidR="00BF2CF1" w:rsidRPr="00345AA8" w:rsidRDefault="00BF2CF1" w:rsidP="00D92DCC">
            <w:pPr>
              <w:spacing w:before="60"/>
            </w:pPr>
            <w:r w:rsidRPr="00345AA8">
              <w:t>Tenderer’s Question</w:t>
            </w:r>
          </w:p>
        </w:tc>
        <w:tc>
          <w:tcPr>
            <w:tcW w:w="3561" w:type="pct"/>
          </w:tcPr>
          <w:p w:rsidR="00BF2CF1" w:rsidRPr="00345AA8" w:rsidRDefault="00BF2CF1" w:rsidP="00D92DCC">
            <w:pPr>
              <w:spacing w:line="276" w:lineRule="auto"/>
            </w:pPr>
            <w:r w:rsidRPr="00345AA8">
              <w:t>Does quoting in USD lead to exclusion from the tendering process?</w:t>
            </w:r>
          </w:p>
        </w:tc>
      </w:tr>
      <w:tr w:rsidR="00BF2CF1" w:rsidRPr="00345AA8" w:rsidTr="00D92DCC">
        <w:trPr>
          <w:jc w:val="center"/>
        </w:trPr>
        <w:tc>
          <w:tcPr>
            <w:tcW w:w="1439" w:type="pct"/>
            <w:shd w:val="clear" w:color="auto" w:fill="E0E0E0"/>
          </w:tcPr>
          <w:p w:rsidR="00BF2CF1" w:rsidRPr="00345AA8" w:rsidRDefault="00BF2CF1" w:rsidP="00D92DCC">
            <w:pPr>
              <w:spacing w:before="60"/>
            </w:pPr>
            <w:r w:rsidRPr="00345AA8">
              <w:t>Answer</w:t>
            </w:r>
          </w:p>
        </w:tc>
        <w:tc>
          <w:tcPr>
            <w:tcW w:w="3561" w:type="pct"/>
          </w:tcPr>
          <w:p w:rsidR="00BF2CF1" w:rsidRPr="00345AA8" w:rsidRDefault="00D114BD" w:rsidP="00D92DCC">
            <w:r w:rsidRPr="00345AA8">
              <w:t>The tender must be quoted in EURO. Quoting in USD will render the tender non responsive.</w:t>
            </w:r>
          </w:p>
        </w:tc>
      </w:tr>
    </w:tbl>
    <w:p w:rsidR="00BF2CF1" w:rsidRPr="00345AA8" w:rsidRDefault="00BF2CF1" w:rsidP="00D6354D">
      <w:pPr>
        <w:jc w:val="left"/>
      </w:pPr>
    </w:p>
    <w:p w:rsidR="00BF2CF1" w:rsidRPr="00345AA8" w:rsidRDefault="00BF2CF1" w:rsidP="00D6354D">
      <w:pPr>
        <w:jc w:val="left"/>
      </w:pPr>
      <w:r w:rsidRPr="00345AA8">
        <w:t>Clarification 70: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BF2CF1" w:rsidRPr="00345AA8" w:rsidTr="00D92DCC">
        <w:trPr>
          <w:jc w:val="center"/>
        </w:trPr>
        <w:tc>
          <w:tcPr>
            <w:tcW w:w="1439" w:type="pct"/>
            <w:shd w:val="clear" w:color="auto" w:fill="E0E0E0"/>
          </w:tcPr>
          <w:p w:rsidR="00BF2CF1" w:rsidRPr="00345AA8" w:rsidRDefault="00BF2CF1" w:rsidP="00D92DCC">
            <w:pPr>
              <w:spacing w:before="60"/>
            </w:pPr>
            <w:r w:rsidRPr="00345AA8">
              <w:t>Tenderer’s Question</w:t>
            </w:r>
          </w:p>
        </w:tc>
        <w:tc>
          <w:tcPr>
            <w:tcW w:w="3561" w:type="pct"/>
          </w:tcPr>
          <w:p w:rsidR="00BF2CF1" w:rsidRPr="00345AA8" w:rsidRDefault="00BF2CF1" w:rsidP="00D92DCC">
            <w:pPr>
              <w:spacing w:line="276" w:lineRule="auto"/>
            </w:pPr>
            <w:r w:rsidRPr="00345AA8">
              <w:t>Origin of good- Lot 3</w:t>
            </w:r>
          </w:p>
          <w:p w:rsidR="00BF2CF1" w:rsidRPr="00345AA8" w:rsidRDefault="00BF2CF1" w:rsidP="00D92DCC">
            <w:pPr>
              <w:spacing w:line="276" w:lineRule="auto"/>
            </w:pPr>
            <w:r w:rsidRPr="00345AA8">
              <w:t>Is the committee aware that the Microsoft licenses do not originate from the EU but the US? How will this affect the tender process?</w:t>
            </w:r>
          </w:p>
        </w:tc>
      </w:tr>
      <w:tr w:rsidR="00BF2CF1" w:rsidRPr="00345AA8" w:rsidTr="00D92DCC">
        <w:trPr>
          <w:jc w:val="center"/>
        </w:trPr>
        <w:tc>
          <w:tcPr>
            <w:tcW w:w="1439" w:type="pct"/>
            <w:shd w:val="clear" w:color="auto" w:fill="E0E0E0"/>
          </w:tcPr>
          <w:p w:rsidR="00BF2CF1" w:rsidRPr="00345AA8" w:rsidRDefault="00BF2CF1" w:rsidP="00D92DCC">
            <w:pPr>
              <w:spacing w:before="60"/>
            </w:pPr>
            <w:r w:rsidRPr="00CC0FB0">
              <w:t>Answer</w:t>
            </w:r>
          </w:p>
        </w:tc>
        <w:tc>
          <w:tcPr>
            <w:tcW w:w="3561" w:type="pct"/>
          </w:tcPr>
          <w:p w:rsidR="0059557B" w:rsidRPr="00345AA8" w:rsidRDefault="0059557B" w:rsidP="0059557B">
            <w:pPr>
              <w:spacing w:line="276" w:lineRule="auto"/>
              <w:rPr>
                <w:b/>
                <w:lang w:eastAsia="el-GR"/>
              </w:rPr>
            </w:pPr>
            <w:r w:rsidRPr="00345AA8">
              <w:rPr>
                <w:b/>
                <w:lang w:eastAsia="el-GR"/>
              </w:rPr>
              <w:t>Participation in tendering is open  on equal terms to natural and legal persons (participating either individually or in a grouping (consortium) of tenderers which are established in a Member State of the European Union, ACP States or in a country or territory authorised by the ACP_EC Partnership Agreement under which the contract is financed  (see also item 22 below). Participation is also open to international organisations</w:t>
            </w:r>
          </w:p>
          <w:p w:rsidR="00BF2CF1" w:rsidRPr="00345AA8" w:rsidRDefault="00D121D5" w:rsidP="00D121D5">
            <w:r>
              <w:t>Please see Corrigendum No 1 to the Supply Contract notice</w:t>
            </w:r>
          </w:p>
        </w:tc>
      </w:tr>
    </w:tbl>
    <w:p w:rsidR="00BF2CF1" w:rsidRPr="00345AA8" w:rsidRDefault="00BF2CF1" w:rsidP="00D6354D">
      <w:pPr>
        <w:jc w:val="left"/>
      </w:pPr>
    </w:p>
    <w:p w:rsidR="00BF2CF1" w:rsidRPr="00345AA8" w:rsidRDefault="00BF2CF1" w:rsidP="00D6354D">
      <w:pPr>
        <w:jc w:val="left"/>
      </w:pPr>
      <w:r w:rsidRPr="00345AA8">
        <w:t>Clarification 71: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BF2CF1" w:rsidRPr="00345AA8" w:rsidTr="00D92DCC">
        <w:trPr>
          <w:jc w:val="center"/>
        </w:trPr>
        <w:tc>
          <w:tcPr>
            <w:tcW w:w="1439" w:type="pct"/>
            <w:shd w:val="clear" w:color="auto" w:fill="E0E0E0"/>
          </w:tcPr>
          <w:p w:rsidR="00BF2CF1" w:rsidRPr="00345AA8" w:rsidRDefault="00BF2CF1" w:rsidP="00D92DCC">
            <w:pPr>
              <w:spacing w:before="60"/>
            </w:pPr>
            <w:r w:rsidRPr="00345AA8">
              <w:t>Tenderer’s Question</w:t>
            </w:r>
          </w:p>
        </w:tc>
        <w:tc>
          <w:tcPr>
            <w:tcW w:w="3561" w:type="pct"/>
          </w:tcPr>
          <w:p w:rsidR="00BF2CF1" w:rsidRPr="00345AA8" w:rsidRDefault="00BF2CF1" w:rsidP="00D92DCC">
            <w:pPr>
              <w:spacing w:line="276" w:lineRule="auto"/>
            </w:pPr>
            <w:r w:rsidRPr="00345AA8">
              <w:t>Can the tender guarantee be issued by a foreign bank (a bank on Curacao)?</w:t>
            </w:r>
          </w:p>
          <w:p w:rsidR="00BF2CF1" w:rsidRPr="00345AA8" w:rsidRDefault="00BF2CF1" w:rsidP="00D92DCC"/>
        </w:tc>
      </w:tr>
      <w:tr w:rsidR="00BF2CF1" w:rsidRPr="00345AA8" w:rsidTr="00D92DCC">
        <w:trPr>
          <w:jc w:val="center"/>
        </w:trPr>
        <w:tc>
          <w:tcPr>
            <w:tcW w:w="1439" w:type="pct"/>
            <w:shd w:val="clear" w:color="auto" w:fill="E0E0E0"/>
          </w:tcPr>
          <w:p w:rsidR="00BF2CF1" w:rsidRPr="00345AA8" w:rsidRDefault="00BF2CF1" w:rsidP="00D92DCC">
            <w:pPr>
              <w:spacing w:before="60"/>
            </w:pPr>
            <w:r w:rsidRPr="00CC0FB0">
              <w:t>Answer</w:t>
            </w:r>
          </w:p>
        </w:tc>
        <w:tc>
          <w:tcPr>
            <w:tcW w:w="3561" w:type="pct"/>
          </w:tcPr>
          <w:p w:rsidR="00BF2CF1" w:rsidRPr="00345AA8" w:rsidRDefault="00D114BD" w:rsidP="00D121D5">
            <w:r w:rsidRPr="00D121D5">
              <w:t xml:space="preserve">The tender guarantee can be issued by any bank of good standing which can be verified by the </w:t>
            </w:r>
            <w:r w:rsidR="00D121D5" w:rsidRPr="00D121D5">
              <w:t>r</w:t>
            </w:r>
            <w:r w:rsidR="00D121D5">
              <w:t>elevant authorities. It should be prepared in accordance with the template for Tender Guarantee Annex V</w:t>
            </w:r>
          </w:p>
        </w:tc>
      </w:tr>
    </w:tbl>
    <w:p w:rsidR="00BF2CF1" w:rsidRPr="00345AA8" w:rsidRDefault="00BF2CF1" w:rsidP="00D6354D">
      <w:pPr>
        <w:jc w:val="left"/>
      </w:pPr>
    </w:p>
    <w:p w:rsidR="00BF2CF1" w:rsidRPr="00345AA8" w:rsidRDefault="00BF2CF1" w:rsidP="00D6354D">
      <w:pPr>
        <w:jc w:val="left"/>
      </w:pPr>
      <w:r w:rsidRPr="00345AA8">
        <w:t>Clarification 72: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BF2CF1" w:rsidRPr="00345AA8" w:rsidTr="00D92DCC">
        <w:trPr>
          <w:jc w:val="center"/>
        </w:trPr>
        <w:tc>
          <w:tcPr>
            <w:tcW w:w="1439" w:type="pct"/>
            <w:shd w:val="clear" w:color="auto" w:fill="E0E0E0"/>
          </w:tcPr>
          <w:p w:rsidR="00BF2CF1" w:rsidRPr="00345AA8" w:rsidRDefault="00BF2CF1" w:rsidP="00D92DCC">
            <w:pPr>
              <w:spacing w:before="60"/>
            </w:pPr>
            <w:r w:rsidRPr="00345AA8">
              <w:t>Tenderer’s Question</w:t>
            </w:r>
          </w:p>
        </w:tc>
        <w:tc>
          <w:tcPr>
            <w:tcW w:w="3561" w:type="pct"/>
          </w:tcPr>
          <w:p w:rsidR="00BF2CF1" w:rsidRPr="00345AA8" w:rsidRDefault="00BF2CF1" w:rsidP="00D92DCC">
            <w:pPr>
              <w:spacing w:line="276" w:lineRule="auto"/>
            </w:pPr>
            <w:r w:rsidRPr="00345AA8">
              <w:t>Lot 3 quantities.</w:t>
            </w:r>
          </w:p>
          <w:p w:rsidR="00BF2CF1" w:rsidRPr="00345AA8" w:rsidRDefault="00BF2CF1" w:rsidP="00D92DCC">
            <w:pPr>
              <w:spacing w:line="276" w:lineRule="auto"/>
            </w:pPr>
            <w:r w:rsidRPr="00345AA8">
              <w:t>Can you provide us with a list with the actual count of licenses per secretariat and version needed</w:t>
            </w:r>
          </w:p>
          <w:p w:rsidR="00BF2CF1" w:rsidRPr="00345AA8" w:rsidRDefault="00BF2CF1" w:rsidP="00D92DCC"/>
        </w:tc>
      </w:tr>
      <w:tr w:rsidR="00BF2CF1" w:rsidRPr="00345AA8" w:rsidTr="00D92DCC">
        <w:trPr>
          <w:jc w:val="center"/>
        </w:trPr>
        <w:tc>
          <w:tcPr>
            <w:tcW w:w="1439" w:type="pct"/>
            <w:shd w:val="clear" w:color="auto" w:fill="E0E0E0"/>
          </w:tcPr>
          <w:p w:rsidR="00BF2CF1" w:rsidRPr="00345AA8" w:rsidRDefault="00BF2CF1" w:rsidP="00D92DCC">
            <w:pPr>
              <w:spacing w:before="60"/>
            </w:pPr>
            <w:r w:rsidRPr="00345AA8">
              <w:t>Answer</w:t>
            </w:r>
          </w:p>
        </w:tc>
        <w:tc>
          <w:tcPr>
            <w:tcW w:w="3561" w:type="pct"/>
          </w:tcPr>
          <w:p w:rsidR="00BF2CF1" w:rsidRPr="00345AA8" w:rsidRDefault="00BF2CF1" w:rsidP="00D92DCC">
            <w:r w:rsidRPr="00345AA8">
              <w:t>Please see Corrigendum No 1 to Tender Dossier</w:t>
            </w:r>
            <w:r w:rsidR="008B580D">
              <w:t xml:space="preserve"> where the Distribution Schedule is provided.</w:t>
            </w:r>
          </w:p>
        </w:tc>
      </w:tr>
    </w:tbl>
    <w:p w:rsidR="00BF2CF1" w:rsidRPr="00345AA8" w:rsidRDefault="00BF2CF1" w:rsidP="00D6354D">
      <w:pPr>
        <w:jc w:val="left"/>
      </w:pPr>
    </w:p>
    <w:p w:rsidR="00BF2CF1" w:rsidRPr="00345AA8" w:rsidRDefault="00BF2CF1" w:rsidP="00D6354D">
      <w:pPr>
        <w:jc w:val="left"/>
      </w:pPr>
      <w:r w:rsidRPr="00345AA8">
        <w:t>Clarification 73:</w:t>
      </w:r>
    </w:p>
    <w:p w:rsidR="00BF2CF1" w:rsidRPr="00345AA8" w:rsidRDefault="00BF2CF1" w:rsidP="00D6354D">
      <w:pPr>
        <w:jc w:val="lef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BF2CF1" w:rsidRPr="00345AA8" w:rsidTr="00D92DCC">
        <w:trPr>
          <w:jc w:val="center"/>
        </w:trPr>
        <w:tc>
          <w:tcPr>
            <w:tcW w:w="1439" w:type="pct"/>
            <w:shd w:val="clear" w:color="auto" w:fill="E0E0E0"/>
          </w:tcPr>
          <w:p w:rsidR="00BF2CF1" w:rsidRPr="00345AA8" w:rsidRDefault="00BF2CF1" w:rsidP="00D92DCC">
            <w:pPr>
              <w:spacing w:before="60"/>
            </w:pPr>
            <w:r w:rsidRPr="00345AA8">
              <w:t>Tenderer’s Question</w:t>
            </w:r>
          </w:p>
        </w:tc>
        <w:tc>
          <w:tcPr>
            <w:tcW w:w="3561" w:type="pct"/>
          </w:tcPr>
          <w:p w:rsidR="00BF2CF1" w:rsidRPr="00345AA8" w:rsidRDefault="00BF2CF1" w:rsidP="00D92DCC">
            <w:pPr>
              <w:spacing w:line="276" w:lineRule="auto"/>
            </w:pPr>
            <w:r w:rsidRPr="00345AA8">
              <w:t>Is it mandatory to submit a statement of origin for all the hardware submitted in the bid as the origin does not matter?</w:t>
            </w:r>
          </w:p>
          <w:p w:rsidR="00BF2CF1" w:rsidRPr="00345AA8" w:rsidRDefault="00BF2CF1" w:rsidP="00D92DCC"/>
        </w:tc>
      </w:tr>
      <w:tr w:rsidR="00BF2CF1" w:rsidRPr="00345AA8" w:rsidTr="00D92DCC">
        <w:trPr>
          <w:jc w:val="center"/>
        </w:trPr>
        <w:tc>
          <w:tcPr>
            <w:tcW w:w="1439" w:type="pct"/>
            <w:shd w:val="clear" w:color="auto" w:fill="E0E0E0"/>
          </w:tcPr>
          <w:p w:rsidR="00BF2CF1" w:rsidRPr="00345AA8" w:rsidRDefault="00BF2CF1" w:rsidP="00D92DCC">
            <w:pPr>
              <w:spacing w:before="60"/>
            </w:pPr>
            <w:r w:rsidRPr="00345AA8">
              <w:t>Answer</w:t>
            </w:r>
          </w:p>
        </w:tc>
        <w:tc>
          <w:tcPr>
            <w:tcW w:w="3561" w:type="pct"/>
          </w:tcPr>
          <w:p w:rsidR="00BF2CF1" w:rsidRPr="00345AA8" w:rsidRDefault="00BF2CF1" w:rsidP="00D92DCC">
            <w:r w:rsidRPr="00345AA8">
              <w:t xml:space="preserve">A statement of origin for all the hardware is required </w:t>
            </w:r>
          </w:p>
        </w:tc>
      </w:tr>
    </w:tbl>
    <w:p w:rsidR="00BF2CF1" w:rsidRPr="00345AA8" w:rsidRDefault="00BF2CF1" w:rsidP="00D6354D">
      <w:pPr>
        <w:jc w:val="left"/>
      </w:pPr>
    </w:p>
    <w:p w:rsidR="00BF2CF1" w:rsidRPr="00345AA8" w:rsidRDefault="00BF2CF1" w:rsidP="00D6354D">
      <w:pPr>
        <w:jc w:val="left"/>
      </w:pPr>
      <w:r w:rsidRPr="00345AA8">
        <w:t>Clarification 74:</w:t>
      </w:r>
    </w:p>
    <w:p w:rsidR="00BF2CF1" w:rsidRPr="00345AA8" w:rsidRDefault="00BF2CF1" w:rsidP="00D6354D">
      <w:pPr>
        <w:jc w:val="lef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BF2CF1" w:rsidRPr="00345AA8" w:rsidTr="00D92DCC">
        <w:trPr>
          <w:jc w:val="center"/>
        </w:trPr>
        <w:tc>
          <w:tcPr>
            <w:tcW w:w="1439" w:type="pct"/>
            <w:shd w:val="clear" w:color="auto" w:fill="E0E0E0"/>
          </w:tcPr>
          <w:p w:rsidR="00BF2CF1" w:rsidRPr="00345AA8" w:rsidRDefault="00BF2CF1" w:rsidP="00D92DCC">
            <w:pPr>
              <w:spacing w:before="60"/>
            </w:pPr>
            <w:r w:rsidRPr="00345AA8">
              <w:t>Tenderer’s Question</w:t>
            </w:r>
          </w:p>
        </w:tc>
        <w:tc>
          <w:tcPr>
            <w:tcW w:w="3561" w:type="pct"/>
          </w:tcPr>
          <w:p w:rsidR="00BF2CF1" w:rsidRPr="00345AA8" w:rsidRDefault="00BF2CF1" w:rsidP="00D92DCC">
            <w:pPr>
              <w:spacing w:line="276" w:lineRule="auto"/>
            </w:pPr>
            <w:r w:rsidRPr="00345AA8">
              <w:t>Can spares and supplies be separated from the cost of the overall bid?</w:t>
            </w:r>
          </w:p>
          <w:p w:rsidR="00BF2CF1" w:rsidRPr="00345AA8" w:rsidRDefault="00BF2CF1" w:rsidP="00D92DCC"/>
        </w:tc>
      </w:tr>
      <w:tr w:rsidR="00BF2CF1" w:rsidRPr="00345AA8" w:rsidTr="00D92DCC">
        <w:trPr>
          <w:jc w:val="center"/>
        </w:trPr>
        <w:tc>
          <w:tcPr>
            <w:tcW w:w="1439" w:type="pct"/>
            <w:shd w:val="clear" w:color="auto" w:fill="E0E0E0"/>
          </w:tcPr>
          <w:p w:rsidR="00BF2CF1" w:rsidRPr="00345AA8" w:rsidRDefault="00BF2CF1" w:rsidP="00D92DCC">
            <w:pPr>
              <w:spacing w:before="60"/>
            </w:pPr>
            <w:r w:rsidRPr="00345AA8">
              <w:t>Answer</w:t>
            </w:r>
          </w:p>
        </w:tc>
        <w:tc>
          <w:tcPr>
            <w:tcW w:w="3561" w:type="pct"/>
          </w:tcPr>
          <w:p w:rsidR="00BF2CF1" w:rsidRPr="00345AA8" w:rsidRDefault="00BF2CF1" w:rsidP="00D92DCC">
            <w:r w:rsidRPr="00345AA8">
              <w:t>Please use Annex IV where the format for presenting the cost of the various parts of the bid is presented</w:t>
            </w:r>
          </w:p>
        </w:tc>
      </w:tr>
    </w:tbl>
    <w:p w:rsidR="00BF2CF1" w:rsidRPr="00345AA8" w:rsidRDefault="00BF2CF1" w:rsidP="00D6354D">
      <w:pPr>
        <w:jc w:val="left"/>
      </w:pPr>
    </w:p>
    <w:p w:rsidR="00BF2CF1" w:rsidRPr="00345AA8" w:rsidRDefault="00BF2CF1" w:rsidP="00D6354D">
      <w:pPr>
        <w:jc w:val="left"/>
      </w:pPr>
      <w:r w:rsidRPr="00345AA8">
        <w:t>Clarification 75: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BF2CF1" w:rsidRPr="00345AA8" w:rsidTr="00D92DCC">
        <w:trPr>
          <w:jc w:val="center"/>
        </w:trPr>
        <w:tc>
          <w:tcPr>
            <w:tcW w:w="1439" w:type="pct"/>
            <w:shd w:val="clear" w:color="auto" w:fill="E0E0E0"/>
          </w:tcPr>
          <w:p w:rsidR="00BF2CF1" w:rsidRPr="00345AA8" w:rsidRDefault="00BF2CF1" w:rsidP="00D92DCC">
            <w:pPr>
              <w:spacing w:before="60"/>
            </w:pPr>
            <w:r w:rsidRPr="00345AA8">
              <w:t>Tenderer’s Question</w:t>
            </w:r>
          </w:p>
        </w:tc>
        <w:tc>
          <w:tcPr>
            <w:tcW w:w="3561" w:type="pct"/>
          </w:tcPr>
          <w:p w:rsidR="00BF2CF1" w:rsidRPr="00345AA8" w:rsidRDefault="00BF2CF1" w:rsidP="00D92DCC">
            <w:pPr>
              <w:spacing w:line="276" w:lineRule="auto"/>
            </w:pPr>
            <w:r w:rsidRPr="00345AA8">
              <w:t>20.6: Award Criteria The sole award criterion will be the price. The contract will be awarded to the lowest compliant tender.</w:t>
            </w:r>
          </w:p>
          <w:p w:rsidR="00BF2CF1" w:rsidRPr="00345AA8" w:rsidRDefault="00BF2CF1" w:rsidP="00D92DCC">
            <w:pPr>
              <w:spacing w:line="276" w:lineRule="auto"/>
            </w:pPr>
            <w:r w:rsidRPr="00345AA8">
              <w:t>Is the award of the tender strictly based on price of each lot, or does it consider the cost of the overall tender.</w:t>
            </w:r>
          </w:p>
        </w:tc>
      </w:tr>
      <w:tr w:rsidR="00BF2CF1" w:rsidRPr="00345AA8" w:rsidTr="00D92DCC">
        <w:trPr>
          <w:jc w:val="center"/>
        </w:trPr>
        <w:tc>
          <w:tcPr>
            <w:tcW w:w="1439" w:type="pct"/>
            <w:shd w:val="clear" w:color="auto" w:fill="E0E0E0"/>
          </w:tcPr>
          <w:p w:rsidR="00BF2CF1" w:rsidRPr="00345AA8" w:rsidRDefault="00BF2CF1" w:rsidP="00D92DCC">
            <w:pPr>
              <w:spacing w:before="60"/>
            </w:pPr>
            <w:r w:rsidRPr="00345AA8">
              <w:t>Answer</w:t>
            </w:r>
          </w:p>
        </w:tc>
        <w:tc>
          <w:tcPr>
            <w:tcW w:w="3561" w:type="pct"/>
          </w:tcPr>
          <w:p w:rsidR="00BF2CF1" w:rsidRPr="00345AA8" w:rsidRDefault="00BF2CF1" w:rsidP="00BF2CF1">
            <w:r w:rsidRPr="00345AA8">
              <w:t>The award is based on the price of each lot.</w:t>
            </w:r>
          </w:p>
        </w:tc>
      </w:tr>
    </w:tbl>
    <w:p w:rsidR="00BF2CF1" w:rsidRPr="00345AA8" w:rsidRDefault="00BF2CF1" w:rsidP="00D6354D">
      <w:pPr>
        <w:jc w:val="left"/>
      </w:pPr>
    </w:p>
    <w:p w:rsidR="00BF2CF1" w:rsidRPr="00345AA8" w:rsidRDefault="00BF2CF1" w:rsidP="00D6354D">
      <w:pPr>
        <w:jc w:val="left"/>
      </w:pPr>
      <w:r w:rsidRPr="00345AA8">
        <w:t>Clarification 76: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BF2CF1" w:rsidRPr="00345AA8" w:rsidTr="00D92DCC">
        <w:trPr>
          <w:jc w:val="center"/>
        </w:trPr>
        <w:tc>
          <w:tcPr>
            <w:tcW w:w="1439" w:type="pct"/>
            <w:shd w:val="clear" w:color="auto" w:fill="E0E0E0"/>
          </w:tcPr>
          <w:p w:rsidR="00BF2CF1" w:rsidRPr="00345AA8" w:rsidRDefault="00BF2CF1" w:rsidP="00D92DCC">
            <w:pPr>
              <w:spacing w:before="60"/>
            </w:pPr>
            <w:r w:rsidRPr="00345AA8">
              <w:t>Tenderer’s Question</w:t>
            </w:r>
          </w:p>
        </w:tc>
        <w:tc>
          <w:tcPr>
            <w:tcW w:w="3561" w:type="pct"/>
          </w:tcPr>
          <w:p w:rsidR="00BF2CF1" w:rsidRPr="00345AA8" w:rsidRDefault="00BF2CF1" w:rsidP="00D92DCC">
            <w:r w:rsidRPr="00345AA8">
              <w:t>We would like to request clarification of the country of Origin. Can you confirm where the procured goods have to originate from?</w:t>
            </w:r>
          </w:p>
        </w:tc>
      </w:tr>
      <w:tr w:rsidR="00BF2CF1" w:rsidRPr="00345AA8" w:rsidTr="00D92DCC">
        <w:trPr>
          <w:jc w:val="center"/>
        </w:trPr>
        <w:tc>
          <w:tcPr>
            <w:tcW w:w="1439" w:type="pct"/>
            <w:shd w:val="clear" w:color="auto" w:fill="E0E0E0"/>
          </w:tcPr>
          <w:p w:rsidR="00BF2CF1" w:rsidRPr="00345AA8" w:rsidRDefault="00BF2CF1" w:rsidP="00D92DCC">
            <w:pPr>
              <w:spacing w:before="60"/>
            </w:pPr>
            <w:r w:rsidRPr="00345AA8">
              <w:t>Answer</w:t>
            </w:r>
          </w:p>
        </w:tc>
        <w:tc>
          <w:tcPr>
            <w:tcW w:w="3561" w:type="pct"/>
          </w:tcPr>
          <w:p w:rsidR="00BF2CF1" w:rsidRPr="00345AA8" w:rsidRDefault="00CC0FB0" w:rsidP="00D92DCC">
            <w:r w:rsidRPr="008B580D">
              <w:t xml:space="preserve">Please refer to Supply Contract Notice Article 22 Legal Basis. </w:t>
            </w:r>
            <w:r w:rsidR="00974A79" w:rsidRPr="008B580D">
              <w:t>All goods purchased under the contract can originate in any country</w:t>
            </w:r>
            <w:r w:rsidR="008B580D" w:rsidRPr="008B580D">
              <w:t xml:space="preserve"> covered under the provisions of this article.</w:t>
            </w:r>
          </w:p>
        </w:tc>
      </w:tr>
    </w:tbl>
    <w:p w:rsidR="00BF2CF1" w:rsidRPr="00345AA8" w:rsidRDefault="00BF2CF1" w:rsidP="00D6354D">
      <w:pPr>
        <w:jc w:val="left"/>
      </w:pPr>
    </w:p>
    <w:p w:rsidR="00974A79" w:rsidRPr="00345AA8" w:rsidRDefault="00974A79" w:rsidP="00D6354D">
      <w:pPr>
        <w:jc w:val="left"/>
      </w:pPr>
      <w:r w:rsidRPr="00345AA8">
        <w:t>Clarification 77: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974A79" w:rsidRPr="00345AA8" w:rsidTr="00D92DCC">
        <w:trPr>
          <w:jc w:val="center"/>
        </w:trPr>
        <w:tc>
          <w:tcPr>
            <w:tcW w:w="1439" w:type="pct"/>
            <w:shd w:val="clear" w:color="auto" w:fill="E0E0E0"/>
          </w:tcPr>
          <w:p w:rsidR="00974A79" w:rsidRPr="00345AA8" w:rsidRDefault="00974A79" w:rsidP="00D92DCC">
            <w:pPr>
              <w:spacing w:before="60"/>
            </w:pPr>
            <w:r w:rsidRPr="00345AA8">
              <w:t>Tenderer’s Question</w:t>
            </w:r>
          </w:p>
        </w:tc>
        <w:tc>
          <w:tcPr>
            <w:tcW w:w="3561" w:type="pct"/>
          </w:tcPr>
          <w:p w:rsidR="00974A79" w:rsidRPr="00345AA8" w:rsidRDefault="00974A79" w:rsidP="00D92DCC">
            <w:r w:rsidRPr="00345AA8">
              <w:rPr>
                <w:rFonts w:cs="Segoe UI"/>
                <w:color w:val="282828"/>
              </w:rPr>
              <w:t>In addition to providing licenses requested, are vendors also required to supply implementation services as in the cases of Lot 3 (are these licenses related to any of the other lots?)</w:t>
            </w:r>
          </w:p>
        </w:tc>
      </w:tr>
      <w:tr w:rsidR="00974A79" w:rsidRPr="00345AA8" w:rsidTr="00D92DCC">
        <w:trPr>
          <w:jc w:val="center"/>
        </w:trPr>
        <w:tc>
          <w:tcPr>
            <w:tcW w:w="1439" w:type="pct"/>
            <w:shd w:val="clear" w:color="auto" w:fill="E0E0E0"/>
          </w:tcPr>
          <w:p w:rsidR="00974A79" w:rsidRPr="00345AA8" w:rsidRDefault="00974A79" w:rsidP="00D92DCC">
            <w:pPr>
              <w:spacing w:before="60"/>
            </w:pPr>
            <w:r w:rsidRPr="00345AA8">
              <w:t>Answer</w:t>
            </w:r>
          </w:p>
        </w:tc>
        <w:tc>
          <w:tcPr>
            <w:tcW w:w="3561" w:type="pct"/>
          </w:tcPr>
          <w:p w:rsidR="00974A79" w:rsidRPr="00D01CC1" w:rsidRDefault="00974A79" w:rsidP="00D92DCC">
            <w:pPr>
              <w:shd w:val="clear" w:color="auto" w:fill="FFFFFF"/>
              <w:spacing w:after="0" w:line="276" w:lineRule="auto"/>
              <w:rPr>
                <w:rFonts w:cs="Segoe UI"/>
              </w:rPr>
            </w:pPr>
            <w:r w:rsidRPr="00D01CC1">
              <w:rPr>
                <w:rFonts w:cs="Segoe UI"/>
              </w:rPr>
              <w:t xml:space="preserve">We confirm that the vendor is required to supply selected implementation services </w:t>
            </w:r>
            <w:r w:rsidR="00C11E7E" w:rsidRPr="00D01CC1">
              <w:rPr>
                <w:rFonts w:cs="Segoe UI"/>
              </w:rPr>
              <w:t>i.e.</w:t>
            </w:r>
            <w:r w:rsidRPr="00D01CC1">
              <w:rPr>
                <w:rFonts w:cs="Segoe UI"/>
              </w:rPr>
              <w:t xml:space="preserve"> delivery, unloading, installation and commissioning</w:t>
            </w:r>
          </w:p>
          <w:p w:rsidR="00974A79" w:rsidRPr="00345AA8" w:rsidRDefault="00974A79" w:rsidP="00D92DCC"/>
        </w:tc>
      </w:tr>
    </w:tbl>
    <w:p w:rsidR="00974A79" w:rsidRPr="00345AA8" w:rsidRDefault="00974A79" w:rsidP="00D6354D">
      <w:pPr>
        <w:jc w:val="left"/>
      </w:pPr>
    </w:p>
    <w:p w:rsidR="00974A79" w:rsidRPr="00345AA8" w:rsidRDefault="00974A79" w:rsidP="00D6354D">
      <w:pPr>
        <w:jc w:val="left"/>
      </w:pPr>
      <w:r w:rsidRPr="00345AA8">
        <w:t>Clarification 78: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974A79" w:rsidRPr="00345AA8" w:rsidTr="00D92DCC">
        <w:trPr>
          <w:jc w:val="center"/>
        </w:trPr>
        <w:tc>
          <w:tcPr>
            <w:tcW w:w="1439" w:type="pct"/>
            <w:shd w:val="clear" w:color="auto" w:fill="E0E0E0"/>
          </w:tcPr>
          <w:p w:rsidR="00974A79" w:rsidRPr="00345AA8" w:rsidRDefault="00974A79" w:rsidP="00D92DCC">
            <w:pPr>
              <w:spacing w:before="60"/>
            </w:pPr>
            <w:r w:rsidRPr="00345AA8">
              <w:t>Tenderer’s Question</w:t>
            </w:r>
          </w:p>
        </w:tc>
        <w:tc>
          <w:tcPr>
            <w:tcW w:w="3561" w:type="pct"/>
          </w:tcPr>
          <w:p w:rsidR="00974A79" w:rsidRPr="00345AA8" w:rsidRDefault="00974A79" w:rsidP="00D92DCC">
            <w:pPr>
              <w:spacing w:line="276" w:lineRule="auto"/>
            </w:pPr>
            <w:r w:rsidRPr="00345AA8">
              <w:t xml:space="preserve">In addition to providing licenses requested, are vendors also required to supply implementation services? </w:t>
            </w:r>
          </w:p>
          <w:p w:rsidR="00974A79" w:rsidRPr="00345AA8" w:rsidRDefault="00974A79" w:rsidP="00D92DCC"/>
        </w:tc>
      </w:tr>
      <w:tr w:rsidR="00974A79" w:rsidRPr="00345AA8" w:rsidTr="00D92DCC">
        <w:trPr>
          <w:jc w:val="center"/>
        </w:trPr>
        <w:tc>
          <w:tcPr>
            <w:tcW w:w="1439" w:type="pct"/>
            <w:shd w:val="clear" w:color="auto" w:fill="E0E0E0"/>
          </w:tcPr>
          <w:p w:rsidR="00974A79" w:rsidRPr="00345AA8" w:rsidRDefault="00974A79" w:rsidP="00D92DCC">
            <w:pPr>
              <w:spacing w:before="60"/>
            </w:pPr>
            <w:r w:rsidRPr="00345AA8">
              <w:t>Answer</w:t>
            </w:r>
          </w:p>
        </w:tc>
        <w:tc>
          <w:tcPr>
            <w:tcW w:w="3561" w:type="pct"/>
          </w:tcPr>
          <w:p w:rsidR="00974A79" w:rsidRPr="00345AA8" w:rsidRDefault="00974A79" w:rsidP="00974A79">
            <w:r w:rsidRPr="00345AA8">
              <w:t>Vendors are expected to deliver, install, unload and commission supplies provided under this tender</w:t>
            </w:r>
          </w:p>
        </w:tc>
      </w:tr>
    </w:tbl>
    <w:p w:rsidR="00974A79" w:rsidRPr="00345AA8" w:rsidRDefault="00974A79" w:rsidP="00D6354D">
      <w:pPr>
        <w:jc w:val="left"/>
      </w:pPr>
    </w:p>
    <w:p w:rsidR="00974A79" w:rsidRPr="00345AA8" w:rsidRDefault="00974A79" w:rsidP="00D6354D">
      <w:pPr>
        <w:jc w:val="left"/>
      </w:pPr>
      <w:r w:rsidRPr="00345AA8">
        <w:t>Clarification 79: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974A79" w:rsidRPr="00345AA8" w:rsidTr="00D92DCC">
        <w:trPr>
          <w:jc w:val="center"/>
        </w:trPr>
        <w:tc>
          <w:tcPr>
            <w:tcW w:w="1439" w:type="pct"/>
            <w:shd w:val="clear" w:color="auto" w:fill="E0E0E0"/>
          </w:tcPr>
          <w:p w:rsidR="00974A79" w:rsidRPr="00345AA8" w:rsidRDefault="00974A79" w:rsidP="00D92DCC">
            <w:pPr>
              <w:spacing w:before="60"/>
            </w:pPr>
            <w:r w:rsidRPr="00345AA8">
              <w:t>Tenderer’s Question</w:t>
            </w:r>
          </w:p>
        </w:tc>
        <w:tc>
          <w:tcPr>
            <w:tcW w:w="3561" w:type="pct"/>
          </w:tcPr>
          <w:p w:rsidR="00974A79" w:rsidRPr="00345AA8" w:rsidRDefault="00974A79" w:rsidP="00D92DCC">
            <w:pPr>
              <w:spacing w:line="276" w:lineRule="auto"/>
              <w:rPr>
                <w:highlight w:val="yellow"/>
              </w:rPr>
            </w:pPr>
            <w:r w:rsidRPr="00345AA8">
              <w:t xml:space="preserve">Page 42, Article 33. Draft Contract and Special Conditions: Clarification is required on your definition of “after-sales service” </w:t>
            </w:r>
          </w:p>
          <w:p w:rsidR="00974A79" w:rsidRPr="00345AA8" w:rsidRDefault="00974A79" w:rsidP="00D92DCC"/>
        </w:tc>
      </w:tr>
      <w:tr w:rsidR="00974A79" w:rsidRPr="00345AA8" w:rsidTr="00D92DCC">
        <w:trPr>
          <w:jc w:val="center"/>
        </w:trPr>
        <w:tc>
          <w:tcPr>
            <w:tcW w:w="1439" w:type="pct"/>
            <w:shd w:val="clear" w:color="auto" w:fill="E0E0E0"/>
          </w:tcPr>
          <w:p w:rsidR="00974A79" w:rsidRPr="00345AA8" w:rsidRDefault="00974A79" w:rsidP="00D92DCC">
            <w:pPr>
              <w:spacing w:before="60"/>
            </w:pPr>
            <w:r w:rsidRPr="00345AA8">
              <w:t>Answer</w:t>
            </w:r>
          </w:p>
        </w:tc>
        <w:tc>
          <w:tcPr>
            <w:tcW w:w="3561" w:type="pct"/>
          </w:tcPr>
          <w:p w:rsidR="00974A79" w:rsidRPr="00345AA8" w:rsidRDefault="00974A79" w:rsidP="00974A79">
            <w:r w:rsidRPr="00345AA8">
              <w:t>After Sales services refers to scheduled maintenance and support services</w:t>
            </w:r>
          </w:p>
        </w:tc>
      </w:tr>
    </w:tbl>
    <w:p w:rsidR="00974A79" w:rsidRPr="00345AA8" w:rsidRDefault="00974A79" w:rsidP="00D6354D">
      <w:pPr>
        <w:jc w:val="left"/>
      </w:pPr>
    </w:p>
    <w:p w:rsidR="00BF2CF1" w:rsidRPr="00345AA8" w:rsidRDefault="00974A79" w:rsidP="00D6354D">
      <w:pPr>
        <w:jc w:val="left"/>
      </w:pPr>
      <w:r w:rsidRPr="00345AA8">
        <w:t>Clarification 80: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974A79" w:rsidRPr="00345AA8" w:rsidTr="00D92DCC">
        <w:trPr>
          <w:jc w:val="center"/>
        </w:trPr>
        <w:tc>
          <w:tcPr>
            <w:tcW w:w="1439" w:type="pct"/>
            <w:shd w:val="clear" w:color="auto" w:fill="E0E0E0"/>
          </w:tcPr>
          <w:p w:rsidR="00974A79" w:rsidRPr="00345AA8" w:rsidRDefault="00974A79" w:rsidP="00D92DCC">
            <w:pPr>
              <w:spacing w:before="60"/>
            </w:pPr>
            <w:r w:rsidRPr="00345AA8">
              <w:t>Tenderer’s Question</w:t>
            </w:r>
          </w:p>
        </w:tc>
        <w:tc>
          <w:tcPr>
            <w:tcW w:w="3561" w:type="pct"/>
          </w:tcPr>
          <w:p w:rsidR="00974A79" w:rsidRPr="00345AA8" w:rsidRDefault="00974A79" w:rsidP="00D92DCC">
            <w:pPr>
              <w:spacing w:line="276" w:lineRule="auto"/>
            </w:pPr>
            <w:r w:rsidRPr="00345AA8">
              <w:t xml:space="preserve">Annex II &amp; III, Page 4. On-site warranty for hardware and software. There is generally no warranty on software. Please clarify your position.  </w:t>
            </w:r>
          </w:p>
          <w:p w:rsidR="00974A79" w:rsidRPr="00345AA8" w:rsidRDefault="00974A79" w:rsidP="00D92DCC"/>
        </w:tc>
      </w:tr>
      <w:tr w:rsidR="00974A79" w:rsidRPr="00345AA8" w:rsidTr="00D92DCC">
        <w:trPr>
          <w:jc w:val="center"/>
        </w:trPr>
        <w:tc>
          <w:tcPr>
            <w:tcW w:w="1439" w:type="pct"/>
            <w:shd w:val="clear" w:color="auto" w:fill="E0E0E0"/>
          </w:tcPr>
          <w:p w:rsidR="00974A79" w:rsidRPr="00345AA8" w:rsidRDefault="00974A79" w:rsidP="00D92DCC">
            <w:pPr>
              <w:spacing w:before="60"/>
            </w:pPr>
            <w:r w:rsidRPr="008B580D">
              <w:lastRenderedPageBreak/>
              <w:t>Answer</w:t>
            </w:r>
          </w:p>
        </w:tc>
        <w:tc>
          <w:tcPr>
            <w:tcW w:w="3561" w:type="pct"/>
          </w:tcPr>
          <w:p w:rsidR="00974A79" w:rsidRPr="00345AA8" w:rsidRDefault="00C11E7E" w:rsidP="00C11E7E">
            <w:r>
              <w:t xml:space="preserve">The requirement for warranty for software applies to Lot 1, where the contractor is expected to provide customisation. </w:t>
            </w:r>
          </w:p>
        </w:tc>
      </w:tr>
    </w:tbl>
    <w:p w:rsidR="00974A79" w:rsidRPr="00345AA8" w:rsidRDefault="00974A79" w:rsidP="00D6354D">
      <w:pPr>
        <w:jc w:val="left"/>
      </w:pPr>
    </w:p>
    <w:p w:rsidR="00974A79" w:rsidRPr="00345AA8" w:rsidRDefault="00974A79" w:rsidP="00D6354D">
      <w:pPr>
        <w:jc w:val="left"/>
      </w:pPr>
      <w:r w:rsidRPr="00345AA8">
        <w:t>Clarification 81: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974A79" w:rsidRPr="00345AA8" w:rsidTr="00D92DCC">
        <w:trPr>
          <w:jc w:val="center"/>
        </w:trPr>
        <w:tc>
          <w:tcPr>
            <w:tcW w:w="1439" w:type="pct"/>
            <w:shd w:val="clear" w:color="auto" w:fill="E0E0E0"/>
          </w:tcPr>
          <w:p w:rsidR="00974A79" w:rsidRPr="00345AA8" w:rsidRDefault="00974A79" w:rsidP="00D92DCC">
            <w:pPr>
              <w:spacing w:before="60"/>
            </w:pPr>
            <w:r w:rsidRPr="00345AA8">
              <w:t>Tenderer’s Question</w:t>
            </w:r>
          </w:p>
        </w:tc>
        <w:tc>
          <w:tcPr>
            <w:tcW w:w="3561" w:type="pct"/>
          </w:tcPr>
          <w:p w:rsidR="00974A79" w:rsidRPr="00345AA8" w:rsidRDefault="00974A79" w:rsidP="00D92DCC">
            <w:pPr>
              <w:shd w:val="clear" w:color="auto" w:fill="FFFFFF"/>
              <w:spacing w:after="0" w:line="276" w:lineRule="auto"/>
              <w:ind w:hanging="360"/>
              <w:rPr>
                <w:rFonts w:cs="Segoe UI"/>
                <w:color w:val="282828"/>
              </w:rPr>
            </w:pPr>
            <w:r w:rsidRPr="00345AA8">
              <w:rPr>
                <w:rFonts w:cs="Tahoma"/>
                <w:bCs/>
                <w:color w:val="282828"/>
              </w:rPr>
              <w:t>LOT 1 : </w:t>
            </w:r>
            <w:r w:rsidRPr="00345AA8">
              <w:rPr>
                <w:rFonts w:cs="Tahoma"/>
                <w:color w:val="282828"/>
              </w:rPr>
              <w:t>in ANNEX II + III, Technical Specifications + Technical Offer, page 4 and 5  read:</w:t>
            </w:r>
          </w:p>
          <w:p w:rsidR="00974A79" w:rsidRPr="00345AA8" w:rsidRDefault="00974A79" w:rsidP="00D92DCC">
            <w:pPr>
              <w:shd w:val="clear" w:color="auto" w:fill="FFFFFF"/>
              <w:spacing w:after="0" w:line="276" w:lineRule="auto"/>
              <w:rPr>
                <w:rFonts w:cs="Segoe UI"/>
                <w:color w:val="282828"/>
              </w:rPr>
            </w:pPr>
            <w:r w:rsidRPr="00345AA8">
              <w:rPr>
                <w:rFonts w:cs="Tahoma"/>
                <w:color w:val="282828"/>
              </w:rPr>
              <w:t> </w:t>
            </w:r>
          </w:p>
          <w:p w:rsidR="00974A79" w:rsidRPr="00345AA8" w:rsidRDefault="00974A79" w:rsidP="00D92DCC">
            <w:pPr>
              <w:shd w:val="clear" w:color="auto" w:fill="FFFFFF"/>
              <w:spacing w:after="0" w:line="276" w:lineRule="auto"/>
              <w:rPr>
                <w:rFonts w:cs="Segoe UI"/>
                <w:color w:val="282828"/>
              </w:rPr>
            </w:pPr>
            <w:r w:rsidRPr="00345AA8">
              <w:rPr>
                <w:rFonts w:cs="Segoe UI"/>
                <w:color w:val="282828"/>
              </w:rPr>
              <w:t>“</w:t>
            </w:r>
            <w:r w:rsidRPr="00345AA8">
              <w:rPr>
                <w:rFonts w:cs="Tahoma"/>
                <w:i/>
                <w:iCs/>
                <w:color w:val="282828"/>
              </w:rPr>
              <w:t>After the provisional acceptance, the Contractor is expected  to provide  warranty support, in accordance with warranty agreement,  and support for system maintenance pursuant to the after sales agreement, working hours from 9:00 to 17:30, 5 days/week and including:</w:t>
            </w:r>
          </w:p>
          <w:p w:rsidR="00974A79" w:rsidRPr="00345AA8" w:rsidRDefault="00974A79" w:rsidP="00D92DCC">
            <w:pPr>
              <w:shd w:val="clear" w:color="auto" w:fill="FFFFFF"/>
              <w:spacing w:after="0" w:line="276" w:lineRule="auto"/>
              <w:rPr>
                <w:rFonts w:cs="Segoe UI"/>
                <w:color w:val="282828"/>
              </w:rPr>
            </w:pPr>
            <w:r w:rsidRPr="00345AA8">
              <w:rPr>
                <w:rFonts w:cs="Tahoma"/>
                <w:i/>
                <w:iCs/>
                <w:color w:val="282828"/>
              </w:rPr>
              <w:t> </w:t>
            </w:r>
          </w:p>
          <w:p w:rsidR="00974A79" w:rsidRPr="00345AA8" w:rsidRDefault="00974A79" w:rsidP="00D92DCC">
            <w:pPr>
              <w:shd w:val="clear" w:color="auto" w:fill="FFFFFF"/>
              <w:spacing w:after="0" w:line="276" w:lineRule="auto"/>
              <w:rPr>
                <w:rFonts w:cs="Segoe UI"/>
                <w:color w:val="282828"/>
              </w:rPr>
            </w:pPr>
            <w:r w:rsidRPr="00345AA8">
              <w:rPr>
                <w:rFonts w:cs="Tahoma"/>
                <w:i/>
                <w:iCs/>
                <w:color w:val="282828"/>
              </w:rPr>
              <w:t>•        On-site warranty for all hardware and software with maximum response time of 1 business day and maximum time for repair of 3 business days.</w:t>
            </w:r>
          </w:p>
          <w:p w:rsidR="00974A79" w:rsidRPr="00345AA8" w:rsidRDefault="00974A79" w:rsidP="00D92DCC">
            <w:pPr>
              <w:shd w:val="clear" w:color="auto" w:fill="FFFFFF"/>
              <w:spacing w:after="0" w:line="276" w:lineRule="auto"/>
              <w:rPr>
                <w:rFonts w:cs="Segoe UI"/>
                <w:color w:val="282828"/>
              </w:rPr>
            </w:pPr>
            <w:r w:rsidRPr="00345AA8">
              <w:rPr>
                <w:rFonts w:cs="Tahoma"/>
                <w:i/>
                <w:iCs/>
                <w:color w:val="282828"/>
              </w:rPr>
              <w:t>•        Delivery of new versions and support for all software user licenses.</w:t>
            </w:r>
          </w:p>
          <w:p w:rsidR="00974A79" w:rsidRPr="00345AA8" w:rsidRDefault="00974A79" w:rsidP="00D92DCC">
            <w:pPr>
              <w:shd w:val="clear" w:color="auto" w:fill="FFFFFF"/>
              <w:spacing w:after="0" w:line="276" w:lineRule="auto"/>
              <w:rPr>
                <w:rFonts w:cs="Segoe UI"/>
                <w:color w:val="282828"/>
              </w:rPr>
            </w:pPr>
            <w:r w:rsidRPr="00345AA8">
              <w:rPr>
                <w:rFonts w:cs="Tahoma"/>
                <w:i/>
                <w:iCs/>
                <w:color w:val="282828"/>
              </w:rPr>
              <w:t>•        Corrective maintenance – costs due to modifying software to correct issues discovered after initial deployment.</w:t>
            </w:r>
          </w:p>
          <w:p w:rsidR="00974A79" w:rsidRPr="00345AA8" w:rsidRDefault="00974A79" w:rsidP="00D92DCC">
            <w:pPr>
              <w:shd w:val="clear" w:color="auto" w:fill="FFFFFF"/>
              <w:spacing w:after="0" w:line="276" w:lineRule="auto"/>
              <w:rPr>
                <w:rFonts w:cs="Segoe UI"/>
                <w:color w:val="282828"/>
              </w:rPr>
            </w:pPr>
            <w:r w:rsidRPr="00345AA8">
              <w:rPr>
                <w:rFonts w:cs="Tahoma"/>
                <w:i/>
                <w:iCs/>
                <w:color w:val="282828"/>
              </w:rPr>
              <w:t>•        Adaptive maintenance – costs due to modifying a software solution to allow it to remain effective in a changing business environment.</w:t>
            </w:r>
          </w:p>
          <w:p w:rsidR="00974A79" w:rsidRPr="00345AA8" w:rsidRDefault="00974A79" w:rsidP="00D92DCC">
            <w:pPr>
              <w:shd w:val="clear" w:color="auto" w:fill="FFFFFF"/>
              <w:spacing w:after="0" w:line="276" w:lineRule="auto"/>
              <w:rPr>
                <w:rFonts w:cs="Segoe UI"/>
                <w:color w:val="282828"/>
              </w:rPr>
            </w:pPr>
            <w:r w:rsidRPr="00345AA8">
              <w:rPr>
                <w:rFonts w:cs="Tahoma"/>
                <w:i/>
                <w:iCs/>
                <w:color w:val="282828"/>
              </w:rPr>
              <w:t>•        Perfective maintenance – costs due to improving or enhancing a software solution to improve overall performance.</w:t>
            </w:r>
          </w:p>
          <w:p w:rsidR="00974A79" w:rsidRPr="00345AA8" w:rsidRDefault="00974A79" w:rsidP="00D92DCC">
            <w:pPr>
              <w:shd w:val="clear" w:color="auto" w:fill="FFFFFF"/>
              <w:spacing w:after="0" w:line="276" w:lineRule="auto"/>
              <w:rPr>
                <w:rFonts w:cs="Segoe UI"/>
                <w:color w:val="282828"/>
              </w:rPr>
            </w:pPr>
            <w:r w:rsidRPr="00345AA8">
              <w:rPr>
                <w:rFonts w:cs="Tahoma"/>
                <w:i/>
                <w:iCs/>
                <w:color w:val="282828"/>
              </w:rPr>
              <w:t> </w:t>
            </w:r>
          </w:p>
          <w:p w:rsidR="00974A79" w:rsidRPr="00345AA8" w:rsidRDefault="00974A79" w:rsidP="00D92DCC">
            <w:pPr>
              <w:shd w:val="clear" w:color="auto" w:fill="FFFFFF"/>
              <w:spacing w:after="0" w:line="276" w:lineRule="auto"/>
              <w:rPr>
                <w:rFonts w:cs="Segoe UI"/>
                <w:color w:val="282828"/>
              </w:rPr>
            </w:pPr>
            <w:r w:rsidRPr="00345AA8">
              <w:rPr>
                <w:rFonts w:cs="Tahoma"/>
                <w:i/>
                <w:iCs/>
                <w:color w:val="282828"/>
              </w:rPr>
              <w:t>There also must be a fault reporting process whereby faults are categorized into the following categories:</w:t>
            </w:r>
          </w:p>
          <w:p w:rsidR="00974A79" w:rsidRPr="00345AA8" w:rsidRDefault="00974A79" w:rsidP="00D92DCC">
            <w:pPr>
              <w:shd w:val="clear" w:color="auto" w:fill="FFFFFF"/>
              <w:spacing w:after="0" w:line="276" w:lineRule="auto"/>
              <w:rPr>
                <w:rFonts w:cs="Segoe UI"/>
                <w:color w:val="282828"/>
              </w:rPr>
            </w:pPr>
            <w:r w:rsidRPr="00345AA8">
              <w:rPr>
                <w:rFonts w:cs="Tahoma"/>
                <w:i/>
                <w:iCs/>
                <w:color w:val="282828"/>
              </w:rPr>
              <w:t> </w:t>
            </w:r>
          </w:p>
          <w:p w:rsidR="00974A79" w:rsidRPr="00345AA8" w:rsidRDefault="00974A79" w:rsidP="00D92DCC">
            <w:pPr>
              <w:shd w:val="clear" w:color="auto" w:fill="FFFFFF"/>
              <w:spacing w:after="0" w:line="276" w:lineRule="auto"/>
              <w:rPr>
                <w:rFonts w:cs="Segoe UI"/>
                <w:color w:val="282828"/>
              </w:rPr>
            </w:pPr>
            <w:r w:rsidRPr="00345AA8">
              <w:rPr>
                <w:rFonts w:cs="Tahoma"/>
                <w:i/>
                <w:iCs/>
                <w:color w:val="282828"/>
              </w:rPr>
              <w:t>Category       Description    Response/Fix time</w:t>
            </w:r>
          </w:p>
          <w:p w:rsidR="00974A79" w:rsidRPr="00345AA8" w:rsidRDefault="00974A79" w:rsidP="00D92DCC">
            <w:pPr>
              <w:shd w:val="clear" w:color="auto" w:fill="FFFFFF"/>
              <w:spacing w:after="0" w:line="276" w:lineRule="auto"/>
              <w:rPr>
                <w:rFonts w:cs="Segoe UI"/>
                <w:color w:val="282828"/>
              </w:rPr>
            </w:pPr>
            <w:r w:rsidRPr="00345AA8">
              <w:rPr>
                <w:rFonts w:cs="Tahoma"/>
                <w:i/>
                <w:iCs/>
                <w:color w:val="282828"/>
              </w:rPr>
              <w:t>A        Catastrophic failure whereby the system is unable to support business processes.   2 hours/12 hours</w:t>
            </w:r>
          </w:p>
          <w:p w:rsidR="00974A79" w:rsidRPr="00345AA8" w:rsidRDefault="00974A79" w:rsidP="00D92DCC">
            <w:pPr>
              <w:shd w:val="clear" w:color="auto" w:fill="FFFFFF"/>
              <w:spacing w:after="0" w:line="276" w:lineRule="auto"/>
              <w:rPr>
                <w:rFonts w:cs="Segoe UI"/>
                <w:color w:val="282828"/>
              </w:rPr>
            </w:pPr>
            <w:r w:rsidRPr="00345AA8">
              <w:rPr>
                <w:rFonts w:cs="Tahoma"/>
                <w:i/>
                <w:iCs/>
                <w:color w:val="282828"/>
              </w:rPr>
              <w:t>B        Serious failure, but the system can still be used to support business processes. This may also be a Category A problem, but with a documented workaround.       2 hours/5 days</w:t>
            </w:r>
          </w:p>
          <w:p w:rsidR="00974A79" w:rsidRPr="00345AA8" w:rsidRDefault="00974A79" w:rsidP="00D92DCC">
            <w:pPr>
              <w:shd w:val="clear" w:color="auto" w:fill="FFFFFF"/>
              <w:spacing w:after="0" w:line="276" w:lineRule="auto"/>
              <w:rPr>
                <w:rFonts w:cs="Segoe UI"/>
                <w:color w:val="282828"/>
              </w:rPr>
            </w:pPr>
            <w:r w:rsidRPr="00345AA8">
              <w:rPr>
                <w:rFonts w:cs="Tahoma"/>
                <w:i/>
                <w:iCs/>
                <w:color w:val="282828"/>
              </w:rPr>
              <w:t>C        A non-serious problem that does not affect business processes.        2 hours/10 days</w:t>
            </w:r>
          </w:p>
          <w:p w:rsidR="00974A79" w:rsidRPr="00345AA8" w:rsidRDefault="00974A79" w:rsidP="00D92DCC">
            <w:pPr>
              <w:shd w:val="clear" w:color="auto" w:fill="FFFFFF"/>
              <w:spacing w:after="0" w:line="276" w:lineRule="auto"/>
              <w:rPr>
                <w:rFonts w:cs="Segoe UI"/>
                <w:color w:val="282828"/>
              </w:rPr>
            </w:pPr>
            <w:r w:rsidRPr="00345AA8">
              <w:rPr>
                <w:rFonts w:cs="Tahoma"/>
                <w:i/>
                <w:iCs/>
                <w:color w:val="282828"/>
              </w:rPr>
              <w:t> </w:t>
            </w:r>
          </w:p>
          <w:p w:rsidR="00974A79" w:rsidRPr="00345AA8" w:rsidRDefault="00974A79" w:rsidP="00D92DCC">
            <w:pPr>
              <w:shd w:val="clear" w:color="auto" w:fill="FFFFFF"/>
              <w:spacing w:after="0" w:line="276" w:lineRule="auto"/>
              <w:rPr>
                <w:rFonts w:cs="Segoe UI"/>
                <w:color w:val="282828"/>
              </w:rPr>
            </w:pPr>
            <w:r w:rsidRPr="00345AA8">
              <w:rPr>
                <w:rFonts w:cs="Tahoma"/>
                <w:i/>
                <w:iCs/>
                <w:color w:val="282828"/>
              </w:rPr>
              <w:t>During this period, the Contractor will provide full time free of charge support in the form of consultation, assistance and advice. The Contractor shall provide the guarantee that the systems will work in line with the required functionalities and during the maintenance period any corrections of error in the system will be made free of charge by the Contractor.</w:t>
            </w:r>
            <w:r w:rsidRPr="00345AA8">
              <w:rPr>
                <w:rFonts w:cs="Tahoma"/>
                <w:i/>
                <w:iCs/>
                <w:color w:val="282828"/>
              </w:rPr>
              <w:t> </w:t>
            </w:r>
            <w:r w:rsidRPr="00345AA8">
              <w:rPr>
                <w:rFonts w:cs="Tahoma"/>
                <w:i/>
                <w:iCs/>
                <w:color w:val="282828"/>
              </w:rPr>
              <w:t>”</w:t>
            </w:r>
          </w:p>
          <w:p w:rsidR="00974A79" w:rsidRPr="00345AA8" w:rsidRDefault="00974A79" w:rsidP="00D92DCC">
            <w:pPr>
              <w:shd w:val="clear" w:color="auto" w:fill="FFFFFF"/>
              <w:spacing w:after="0" w:line="276" w:lineRule="auto"/>
              <w:rPr>
                <w:rFonts w:cs="Segoe UI"/>
                <w:color w:val="282828"/>
              </w:rPr>
            </w:pPr>
            <w:r w:rsidRPr="00345AA8">
              <w:rPr>
                <w:rFonts w:cs="Tahoma"/>
                <w:color w:val="282828"/>
              </w:rPr>
              <w:t> </w:t>
            </w:r>
          </w:p>
          <w:p w:rsidR="00974A79" w:rsidRPr="00345AA8" w:rsidRDefault="00974A79" w:rsidP="00D92DCC">
            <w:pPr>
              <w:shd w:val="clear" w:color="auto" w:fill="FFFFFF"/>
              <w:spacing w:after="0" w:line="276" w:lineRule="auto"/>
            </w:pPr>
            <w:r w:rsidRPr="00345AA8">
              <w:rPr>
                <w:rFonts w:cs="Tahoma"/>
                <w:color w:val="282828"/>
              </w:rPr>
              <w:t>Please clarify if it is referred only to lot 1 and not to lots 2, 3 and 4.</w:t>
            </w:r>
          </w:p>
        </w:tc>
      </w:tr>
      <w:tr w:rsidR="00974A79" w:rsidRPr="00345AA8" w:rsidTr="00D92DCC">
        <w:trPr>
          <w:jc w:val="center"/>
        </w:trPr>
        <w:tc>
          <w:tcPr>
            <w:tcW w:w="1439" w:type="pct"/>
            <w:shd w:val="clear" w:color="auto" w:fill="E0E0E0"/>
          </w:tcPr>
          <w:p w:rsidR="00974A79" w:rsidRPr="00345AA8" w:rsidRDefault="00974A79" w:rsidP="00D92DCC">
            <w:pPr>
              <w:spacing w:before="60"/>
            </w:pPr>
            <w:r w:rsidRPr="00345AA8">
              <w:t>Answer</w:t>
            </w:r>
          </w:p>
        </w:tc>
        <w:tc>
          <w:tcPr>
            <w:tcW w:w="3561" w:type="pct"/>
          </w:tcPr>
          <w:p w:rsidR="00974A79" w:rsidRPr="00D01CC1" w:rsidRDefault="00974A79" w:rsidP="00D92DCC">
            <w:pPr>
              <w:shd w:val="clear" w:color="auto" w:fill="FFFFFF"/>
              <w:spacing w:after="0" w:line="276" w:lineRule="auto"/>
              <w:rPr>
                <w:rFonts w:cs="Segoe UI"/>
              </w:rPr>
            </w:pPr>
            <w:r w:rsidRPr="00D01CC1">
              <w:rPr>
                <w:rFonts w:cs="Tahoma"/>
              </w:rPr>
              <w:t>These provisions refer to Lot 1 only.</w:t>
            </w:r>
          </w:p>
          <w:p w:rsidR="00974A79" w:rsidRPr="00345AA8" w:rsidRDefault="00974A79" w:rsidP="00D92DCC">
            <w:pPr>
              <w:spacing w:line="276" w:lineRule="auto"/>
            </w:pPr>
          </w:p>
        </w:tc>
      </w:tr>
    </w:tbl>
    <w:p w:rsidR="00974A79" w:rsidRPr="00345AA8" w:rsidRDefault="00974A79" w:rsidP="00D6354D">
      <w:pPr>
        <w:jc w:val="left"/>
      </w:pPr>
    </w:p>
    <w:p w:rsidR="00974A79" w:rsidRPr="00345AA8" w:rsidRDefault="00974A79" w:rsidP="00D6354D">
      <w:pPr>
        <w:jc w:val="left"/>
      </w:pPr>
      <w:r w:rsidRPr="00345AA8">
        <w:t>Clarification 82: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857"/>
      </w:tblGrid>
      <w:tr w:rsidR="00974A79" w:rsidRPr="00345AA8" w:rsidTr="00D92DCC">
        <w:trPr>
          <w:jc w:val="center"/>
        </w:trPr>
        <w:tc>
          <w:tcPr>
            <w:tcW w:w="1439" w:type="pct"/>
            <w:shd w:val="clear" w:color="auto" w:fill="E0E0E0"/>
          </w:tcPr>
          <w:p w:rsidR="00974A79" w:rsidRPr="00345AA8" w:rsidRDefault="00974A79" w:rsidP="00D92DCC">
            <w:pPr>
              <w:spacing w:before="60"/>
            </w:pPr>
            <w:r w:rsidRPr="00345AA8">
              <w:t>Tenderer’s Question</w:t>
            </w:r>
          </w:p>
        </w:tc>
        <w:tc>
          <w:tcPr>
            <w:tcW w:w="3561" w:type="pct"/>
          </w:tcPr>
          <w:p w:rsidR="00974A79" w:rsidRPr="00345AA8" w:rsidRDefault="00974A79" w:rsidP="00D92DCC">
            <w:pPr>
              <w:spacing w:line="276" w:lineRule="auto"/>
              <w:rPr>
                <w:lang w:eastAsia="el-GR"/>
              </w:rPr>
            </w:pPr>
            <w:r w:rsidRPr="00345AA8">
              <w:rPr>
                <w:lang w:eastAsia="el-GR"/>
              </w:rPr>
              <w:t>LOT 1: Software Solution for the Community Public Procurement Notice Board and ICT equipment</w:t>
            </w:r>
          </w:p>
          <w:p w:rsidR="00974A79" w:rsidRPr="00345AA8" w:rsidRDefault="00974A79" w:rsidP="00D92DCC">
            <w:pPr>
              <w:spacing w:line="276" w:lineRule="auto"/>
              <w:rPr>
                <w:lang w:eastAsia="el-GR"/>
              </w:rPr>
            </w:pPr>
            <w:r w:rsidRPr="00345AA8">
              <w:rPr>
                <w:lang w:eastAsia="el-GR"/>
              </w:rPr>
              <w:t xml:space="preserve"> Passage in Document</w:t>
            </w:r>
            <w:r w:rsidRPr="00345AA8">
              <w:rPr>
                <w:lang w:eastAsia="el-GR"/>
              </w:rPr>
              <w:tab/>
              <w:t xml:space="preserve">(p.4) After the provisional acceptance, the Contractor is expected  to provide  warranty support, in accordance with </w:t>
            </w:r>
            <w:r w:rsidRPr="00345AA8">
              <w:rPr>
                <w:lang w:eastAsia="el-GR"/>
              </w:rPr>
              <w:lastRenderedPageBreak/>
              <w:t>warranty agreement,  and support for system maintenance pursuant to the after sales agreement, working hours from 9:00 to 17:30, 5 days/week and including:</w:t>
            </w:r>
          </w:p>
          <w:p w:rsidR="00974A79" w:rsidRPr="00345AA8" w:rsidRDefault="00974A79" w:rsidP="00D92DCC">
            <w:pPr>
              <w:spacing w:line="276" w:lineRule="auto"/>
              <w:rPr>
                <w:lang w:eastAsia="el-GR"/>
              </w:rPr>
            </w:pPr>
            <w:r w:rsidRPr="00345AA8">
              <w:rPr>
                <w:lang w:eastAsia="el-GR"/>
              </w:rPr>
              <w:t>•</w:t>
            </w:r>
            <w:r w:rsidRPr="00345AA8">
              <w:rPr>
                <w:lang w:eastAsia="el-GR"/>
              </w:rPr>
              <w:tab/>
              <w:t>[…]</w:t>
            </w:r>
          </w:p>
          <w:p w:rsidR="00974A79" w:rsidRPr="00345AA8" w:rsidRDefault="00974A79" w:rsidP="00D92DCC">
            <w:pPr>
              <w:spacing w:line="276" w:lineRule="auto"/>
              <w:rPr>
                <w:lang w:eastAsia="el-GR"/>
              </w:rPr>
            </w:pPr>
            <w:r w:rsidRPr="00345AA8">
              <w:rPr>
                <w:lang w:eastAsia="el-GR"/>
              </w:rPr>
              <w:t>(p.37) Provide free of charge one year full time on-site support in the form of consultation, assistance and advice for all systems maintenance (for all of the above), working hours from 9:00 to 17:30, 5 days/week and including:</w:t>
            </w:r>
          </w:p>
          <w:p w:rsidR="00974A79" w:rsidRPr="00345AA8" w:rsidRDefault="00974A79" w:rsidP="00D92DCC">
            <w:pPr>
              <w:spacing w:line="276" w:lineRule="auto"/>
              <w:rPr>
                <w:lang w:eastAsia="el-GR"/>
              </w:rPr>
            </w:pPr>
            <w:r w:rsidRPr="00345AA8">
              <w:rPr>
                <w:lang w:eastAsia="el-GR"/>
              </w:rPr>
              <w:t>•</w:t>
            </w:r>
            <w:r w:rsidRPr="00345AA8">
              <w:rPr>
                <w:lang w:eastAsia="el-GR"/>
              </w:rPr>
              <w:tab/>
              <w:t>[…]</w:t>
            </w:r>
          </w:p>
          <w:p w:rsidR="00974A79" w:rsidRPr="00345AA8" w:rsidRDefault="00974A79" w:rsidP="00D92DCC">
            <w:pPr>
              <w:spacing w:line="276" w:lineRule="auto"/>
              <w:rPr>
                <w:lang w:eastAsia="el-GR"/>
              </w:rPr>
            </w:pPr>
            <w:r w:rsidRPr="00345AA8">
              <w:rPr>
                <w:lang w:eastAsia="el-GR"/>
              </w:rPr>
              <w:t>Tenderer’s Question</w:t>
            </w:r>
            <w:r w:rsidRPr="00345AA8">
              <w:rPr>
                <w:lang w:eastAsia="el-GR"/>
              </w:rPr>
              <w:tab/>
              <w:t>We understand that the warranty support is to be provided on a need basis only and during the mentioned working days and hours and does not require full-time presence on site during the warranty period. Please confirm.</w:t>
            </w:r>
          </w:p>
          <w:p w:rsidR="00974A79" w:rsidRPr="00345AA8" w:rsidRDefault="00974A79" w:rsidP="00D92DCC"/>
        </w:tc>
      </w:tr>
      <w:tr w:rsidR="00974A79" w:rsidRPr="00345AA8" w:rsidTr="00D92DCC">
        <w:trPr>
          <w:jc w:val="center"/>
        </w:trPr>
        <w:tc>
          <w:tcPr>
            <w:tcW w:w="1439" w:type="pct"/>
            <w:shd w:val="clear" w:color="auto" w:fill="E0E0E0"/>
          </w:tcPr>
          <w:p w:rsidR="00974A79" w:rsidRPr="00345AA8" w:rsidRDefault="00974A79" w:rsidP="00D92DCC">
            <w:pPr>
              <w:spacing w:before="60"/>
            </w:pPr>
            <w:r w:rsidRPr="00345AA8">
              <w:lastRenderedPageBreak/>
              <w:t>Answer</w:t>
            </w:r>
          </w:p>
        </w:tc>
        <w:tc>
          <w:tcPr>
            <w:tcW w:w="3561" w:type="pct"/>
          </w:tcPr>
          <w:p w:rsidR="00974A79" w:rsidRPr="00D01CC1" w:rsidRDefault="00974A79" w:rsidP="00D92DCC">
            <w:pPr>
              <w:spacing w:line="276" w:lineRule="auto"/>
              <w:rPr>
                <w:lang w:eastAsia="el-GR"/>
              </w:rPr>
            </w:pPr>
            <w:r w:rsidRPr="00D01CC1">
              <w:rPr>
                <w:lang w:eastAsia="el-GR"/>
              </w:rPr>
              <w:t xml:space="preserve">Please see Corrigendum No 1 to Tender Dossier </w:t>
            </w:r>
          </w:p>
          <w:p w:rsidR="00974A79" w:rsidRPr="00345AA8" w:rsidRDefault="00974A79" w:rsidP="00D92DCC"/>
        </w:tc>
      </w:tr>
    </w:tbl>
    <w:p w:rsidR="00974A79" w:rsidRPr="00345AA8" w:rsidRDefault="00974A79" w:rsidP="00D6354D">
      <w:pPr>
        <w:jc w:val="left"/>
      </w:pPr>
    </w:p>
    <w:sectPr w:rsidR="00974A79" w:rsidRPr="00345AA8" w:rsidSect="005C2A72">
      <w:headerReference w:type="default" r:id="rId8"/>
      <w:footerReference w:type="default" r:id="rId9"/>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72A" w:rsidRDefault="00E4272A">
      <w:r>
        <w:separator/>
      </w:r>
    </w:p>
  </w:endnote>
  <w:endnote w:type="continuationSeparator" w:id="0">
    <w:p w:rsidR="00E4272A" w:rsidRDefault="00E4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1E0" w:firstRow="1" w:lastRow="1" w:firstColumn="1" w:lastColumn="1" w:noHBand="0" w:noVBand="0"/>
    </w:tblPr>
    <w:tblGrid>
      <w:gridCol w:w="3226"/>
      <w:gridCol w:w="3201"/>
      <w:gridCol w:w="3211"/>
    </w:tblGrid>
    <w:tr w:rsidR="00890E50" w:rsidRPr="00412153" w:rsidTr="00412153">
      <w:tc>
        <w:tcPr>
          <w:tcW w:w="3284" w:type="dxa"/>
          <w:tcBorders>
            <w:top w:val="nil"/>
            <w:bottom w:val="single" w:sz="4" w:space="0" w:color="auto"/>
          </w:tcBorders>
          <w:shd w:val="clear" w:color="auto" w:fill="auto"/>
        </w:tcPr>
        <w:p w:rsidR="00890E50" w:rsidRPr="00412153" w:rsidRDefault="00890E50" w:rsidP="005C2A72">
          <w:pPr>
            <w:pStyle w:val="Footer"/>
            <w:rPr>
              <w:sz w:val="16"/>
              <w:szCs w:val="16"/>
            </w:rPr>
          </w:pPr>
        </w:p>
      </w:tc>
      <w:tc>
        <w:tcPr>
          <w:tcW w:w="3285" w:type="dxa"/>
          <w:tcBorders>
            <w:top w:val="nil"/>
            <w:bottom w:val="single" w:sz="4" w:space="0" w:color="auto"/>
          </w:tcBorders>
          <w:shd w:val="clear" w:color="auto" w:fill="auto"/>
        </w:tcPr>
        <w:p w:rsidR="00890E50" w:rsidRPr="00412153" w:rsidRDefault="00890E50" w:rsidP="005C2A72">
          <w:pPr>
            <w:pStyle w:val="Footer"/>
            <w:rPr>
              <w:sz w:val="16"/>
              <w:szCs w:val="16"/>
            </w:rPr>
          </w:pPr>
        </w:p>
      </w:tc>
      <w:tc>
        <w:tcPr>
          <w:tcW w:w="3285" w:type="dxa"/>
          <w:tcBorders>
            <w:top w:val="nil"/>
            <w:bottom w:val="single" w:sz="4" w:space="0" w:color="auto"/>
          </w:tcBorders>
          <w:shd w:val="clear" w:color="auto" w:fill="auto"/>
        </w:tcPr>
        <w:p w:rsidR="00890E50" w:rsidRPr="00412153" w:rsidRDefault="00890E50" w:rsidP="00412153">
          <w:pPr>
            <w:pStyle w:val="Footer"/>
            <w:jc w:val="right"/>
            <w:rPr>
              <w:sz w:val="16"/>
              <w:szCs w:val="16"/>
            </w:rPr>
          </w:pPr>
        </w:p>
      </w:tc>
    </w:tr>
    <w:tr w:rsidR="00890E50" w:rsidRPr="00412153" w:rsidTr="00412153">
      <w:tc>
        <w:tcPr>
          <w:tcW w:w="3284" w:type="dxa"/>
          <w:tcBorders>
            <w:top w:val="single" w:sz="4" w:space="0" w:color="auto"/>
          </w:tcBorders>
          <w:shd w:val="clear" w:color="auto" w:fill="auto"/>
        </w:tcPr>
        <w:p w:rsidR="00890E50" w:rsidRPr="00412153" w:rsidRDefault="00890E50" w:rsidP="005C2A72">
          <w:pPr>
            <w:pStyle w:val="Footer"/>
            <w:rPr>
              <w:sz w:val="16"/>
              <w:szCs w:val="16"/>
            </w:rPr>
          </w:pPr>
          <w:r w:rsidRPr="00412153">
            <w:rPr>
              <w:sz w:val="16"/>
              <w:szCs w:val="16"/>
            </w:rPr>
            <w:t>Request for Clarifications</w:t>
          </w:r>
        </w:p>
      </w:tc>
      <w:tc>
        <w:tcPr>
          <w:tcW w:w="3285" w:type="dxa"/>
          <w:tcBorders>
            <w:top w:val="single" w:sz="4" w:space="0" w:color="auto"/>
          </w:tcBorders>
          <w:shd w:val="clear" w:color="auto" w:fill="auto"/>
        </w:tcPr>
        <w:p w:rsidR="00890E50" w:rsidRPr="00412153" w:rsidRDefault="00890E50" w:rsidP="005C2A72">
          <w:pPr>
            <w:pStyle w:val="Footer"/>
            <w:rPr>
              <w:sz w:val="16"/>
              <w:szCs w:val="16"/>
            </w:rPr>
          </w:pPr>
        </w:p>
      </w:tc>
      <w:tc>
        <w:tcPr>
          <w:tcW w:w="3285" w:type="dxa"/>
          <w:tcBorders>
            <w:top w:val="single" w:sz="4" w:space="0" w:color="auto"/>
          </w:tcBorders>
          <w:shd w:val="clear" w:color="auto" w:fill="auto"/>
        </w:tcPr>
        <w:p w:rsidR="00890E50" w:rsidRPr="00412153" w:rsidRDefault="00890E50" w:rsidP="00412153">
          <w:pPr>
            <w:pStyle w:val="Footer"/>
            <w:jc w:val="right"/>
            <w:rPr>
              <w:sz w:val="16"/>
              <w:szCs w:val="16"/>
            </w:rPr>
          </w:pPr>
          <w:r w:rsidRPr="00412153">
            <w:rPr>
              <w:sz w:val="16"/>
              <w:szCs w:val="16"/>
            </w:rPr>
            <w:t xml:space="preserve">Page </w:t>
          </w:r>
          <w:r w:rsidRPr="00412153">
            <w:rPr>
              <w:rStyle w:val="PageNumber"/>
              <w:sz w:val="16"/>
              <w:szCs w:val="16"/>
            </w:rPr>
            <w:fldChar w:fldCharType="begin"/>
          </w:r>
          <w:r w:rsidRPr="00412153">
            <w:rPr>
              <w:rStyle w:val="PageNumber"/>
              <w:sz w:val="16"/>
              <w:szCs w:val="16"/>
            </w:rPr>
            <w:instrText xml:space="preserve"> PAGE </w:instrText>
          </w:r>
          <w:r w:rsidRPr="00412153">
            <w:rPr>
              <w:rStyle w:val="PageNumber"/>
              <w:sz w:val="16"/>
              <w:szCs w:val="16"/>
            </w:rPr>
            <w:fldChar w:fldCharType="separate"/>
          </w:r>
          <w:r w:rsidR="005527B2">
            <w:rPr>
              <w:rStyle w:val="PageNumber"/>
              <w:noProof/>
              <w:sz w:val="16"/>
              <w:szCs w:val="16"/>
            </w:rPr>
            <w:t>10</w:t>
          </w:r>
          <w:r w:rsidRPr="00412153">
            <w:rPr>
              <w:rStyle w:val="PageNumber"/>
              <w:sz w:val="16"/>
              <w:szCs w:val="16"/>
            </w:rPr>
            <w:fldChar w:fldCharType="end"/>
          </w:r>
        </w:p>
      </w:tc>
    </w:tr>
  </w:tbl>
  <w:p w:rsidR="00890E50" w:rsidRDefault="00890E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72A" w:rsidRDefault="00E4272A">
      <w:r>
        <w:separator/>
      </w:r>
    </w:p>
  </w:footnote>
  <w:footnote w:type="continuationSeparator" w:id="0">
    <w:p w:rsidR="00E4272A" w:rsidRDefault="00E42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E50" w:rsidRDefault="00890E50" w:rsidP="005C2A72">
    <w:pPr>
      <w:pStyle w:val="Heade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62EA"/>
    <w:multiLevelType w:val="hybridMultilevel"/>
    <w:tmpl w:val="731C6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90A3D"/>
    <w:multiLevelType w:val="multilevel"/>
    <w:tmpl w:val="7A94DC94"/>
    <w:numStyleLink w:val="ListNumberNested"/>
  </w:abstractNum>
  <w:abstractNum w:abstractNumId="2" w15:restartNumberingAfterBreak="0">
    <w:nsid w:val="05EA1B1A"/>
    <w:multiLevelType w:val="hybridMultilevel"/>
    <w:tmpl w:val="B3902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F70848"/>
    <w:multiLevelType w:val="multilevel"/>
    <w:tmpl w:val="A44A2162"/>
    <w:lvl w:ilvl="0">
      <w:start w:val="17"/>
      <w:numFmt w:val="decimal"/>
      <w:lvlText w:val="Clarification %1:"/>
      <w:lvlJc w:val="left"/>
      <w:pPr>
        <w:tabs>
          <w:tab w:val="num" w:pos="907"/>
        </w:tabs>
        <w:ind w:left="907" w:hanging="90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64"/>
      </w:pPr>
      <w:rPr>
        <w:rFonts w:hint="default"/>
      </w:rPr>
    </w:lvl>
    <w:lvl w:ilvl="4">
      <w:start w:val="1"/>
      <w:numFmt w:val="decimal"/>
      <w:lvlText w:val="%1.%2.%3.%4.%5"/>
      <w:lvlJc w:val="left"/>
      <w:pPr>
        <w:tabs>
          <w:tab w:val="num" w:pos="907"/>
        </w:tabs>
        <w:ind w:left="907" w:hanging="1021"/>
      </w:pPr>
      <w:rPr>
        <w:rFonts w:hint="default"/>
      </w:rPr>
    </w:lvl>
    <w:lvl w:ilvl="5">
      <w:start w:val="1"/>
      <w:numFmt w:val="decimal"/>
      <w:lvlText w:val="%1.%2.%3.%4.%5.%6"/>
      <w:lvlJc w:val="left"/>
      <w:pPr>
        <w:tabs>
          <w:tab w:val="num" w:pos="907"/>
        </w:tabs>
        <w:ind w:left="907" w:hanging="1021"/>
      </w:pPr>
      <w:rPr>
        <w:rFonts w:hint="default"/>
      </w:rPr>
    </w:lvl>
    <w:lvl w:ilvl="6">
      <w:start w:val="1"/>
      <w:numFmt w:val="decimal"/>
      <w:lvlText w:val="%1.%2.%3.%4.%5.%6.%7"/>
      <w:lvlJc w:val="left"/>
      <w:pPr>
        <w:tabs>
          <w:tab w:val="num" w:pos="907"/>
        </w:tabs>
        <w:ind w:left="907" w:hanging="1134"/>
      </w:pPr>
      <w:rPr>
        <w:rFonts w:hint="default"/>
      </w:rPr>
    </w:lvl>
    <w:lvl w:ilvl="7">
      <w:start w:val="1"/>
      <w:numFmt w:val="decimal"/>
      <w:lvlText w:val="%1.%2.%3.%4.%5.%6.%7.%8"/>
      <w:lvlJc w:val="left"/>
      <w:pPr>
        <w:tabs>
          <w:tab w:val="num" w:pos="907"/>
        </w:tabs>
        <w:ind w:left="907" w:hanging="1134"/>
      </w:pPr>
      <w:rPr>
        <w:rFonts w:hint="default"/>
      </w:rPr>
    </w:lvl>
    <w:lvl w:ilvl="8">
      <w:start w:val="1"/>
      <w:numFmt w:val="decimal"/>
      <w:lvlText w:val="%1.%2.%3.%4.%5.%6.%7.%8.%9"/>
      <w:lvlJc w:val="left"/>
      <w:pPr>
        <w:tabs>
          <w:tab w:val="num" w:pos="907"/>
        </w:tabs>
        <w:ind w:left="907" w:hanging="1134"/>
      </w:pPr>
      <w:rPr>
        <w:rFonts w:hint="default"/>
      </w:rPr>
    </w:lvl>
  </w:abstractNum>
  <w:abstractNum w:abstractNumId="4" w15:restartNumberingAfterBreak="0">
    <w:nsid w:val="08717ADE"/>
    <w:multiLevelType w:val="multilevel"/>
    <w:tmpl w:val="002AB7BA"/>
    <w:lvl w:ilvl="0">
      <w:start w:val="1"/>
      <w:numFmt w:val="decimal"/>
      <w:pStyle w:val="Clarification"/>
      <w:lvlText w:val="Clarification %1:"/>
      <w:lvlJc w:val="left"/>
      <w:pPr>
        <w:tabs>
          <w:tab w:val="num" w:pos="907"/>
        </w:tabs>
        <w:ind w:left="907" w:hanging="90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64"/>
      </w:pPr>
      <w:rPr>
        <w:rFonts w:hint="default"/>
      </w:rPr>
    </w:lvl>
    <w:lvl w:ilvl="4">
      <w:start w:val="1"/>
      <w:numFmt w:val="decimal"/>
      <w:lvlText w:val="%1.%2.%3.%4.%5"/>
      <w:lvlJc w:val="left"/>
      <w:pPr>
        <w:tabs>
          <w:tab w:val="num" w:pos="907"/>
        </w:tabs>
        <w:ind w:left="907" w:hanging="1021"/>
      </w:pPr>
      <w:rPr>
        <w:rFonts w:hint="default"/>
      </w:rPr>
    </w:lvl>
    <w:lvl w:ilvl="5">
      <w:start w:val="1"/>
      <w:numFmt w:val="decimal"/>
      <w:lvlText w:val="%1.%2.%3.%4.%5.%6"/>
      <w:lvlJc w:val="left"/>
      <w:pPr>
        <w:tabs>
          <w:tab w:val="num" w:pos="907"/>
        </w:tabs>
        <w:ind w:left="907" w:hanging="1021"/>
      </w:pPr>
      <w:rPr>
        <w:rFonts w:hint="default"/>
      </w:rPr>
    </w:lvl>
    <w:lvl w:ilvl="6">
      <w:start w:val="1"/>
      <w:numFmt w:val="decimal"/>
      <w:lvlText w:val="%1.%2.%3.%4.%5.%6.%7"/>
      <w:lvlJc w:val="left"/>
      <w:pPr>
        <w:tabs>
          <w:tab w:val="num" w:pos="907"/>
        </w:tabs>
        <w:ind w:left="907" w:hanging="1134"/>
      </w:pPr>
      <w:rPr>
        <w:rFonts w:hint="default"/>
      </w:rPr>
    </w:lvl>
    <w:lvl w:ilvl="7">
      <w:start w:val="1"/>
      <w:numFmt w:val="decimal"/>
      <w:lvlText w:val="%1.%2.%3.%4.%5.%6.%7.%8"/>
      <w:lvlJc w:val="left"/>
      <w:pPr>
        <w:tabs>
          <w:tab w:val="num" w:pos="907"/>
        </w:tabs>
        <w:ind w:left="907" w:hanging="1134"/>
      </w:pPr>
      <w:rPr>
        <w:rFonts w:hint="default"/>
      </w:rPr>
    </w:lvl>
    <w:lvl w:ilvl="8">
      <w:start w:val="1"/>
      <w:numFmt w:val="decimal"/>
      <w:lvlText w:val="%1.%2.%3.%4.%5.%6.%7.%8.%9"/>
      <w:lvlJc w:val="left"/>
      <w:pPr>
        <w:tabs>
          <w:tab w:val="num" w:pos="907"/>
        </w:tabs>
        <w:ind w:left="907" w:hanging="1134"/>
      </w:pPr>
      <w:rPr>
        <w:rFonts w:hint="default"/>
      </w:rPr>
    </w:lvl>
  </w:abstractNum>
  <w:abstractNum w:abstractNumId="5" w15:restartNumberingAfterBreak="0">
    <w:nsid w:val="0EA90F26"/>
    <w:multiLevelType w:val="multilevel"/>
    <w:tmpl w:val="7A94DC94"/>
    <w:numStyleLink w:val="ListNumberNested"/>
  </w:abstractNum>
  <w:abstractNum w:abstractNumId="6" w15:restartNumberingAfterBreak="0">
    <w:nsid w:val="1E211BE6"/>
    <w:multiLevelType w:val="hybridMultilevel"/>
    <w:tmpl w:val="8FD2DB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224F5B8D"/>
    <w:multiLevelType w:val="multilevel"/>
    <w:tmpl w:val="002AB7BA"/>
    <w:lvl w:ilvl="0">
      <w:start w:val="1"/>
      <w:numFmt w:val="decimal"/>
      <w:lvlText w:val="Clarification %1:"/>
      <w:lvlJc w:val="left"/>
      <w:pPr>
        <w:tabs>
          <w:tab w:val="num" w:pos="907"/>
        </w:tabs>
        <w:ind w:left="907" w:hanging="90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64"/>
      </w:pPr>
      <w:rPr>
        <w:rFonts w:hint="default"/>
      </w:rPr>
    </w:lvl>
    <w:lvl w:ilvl="4">
      <w:start w:val="1"/>
      <w:numFmt w:val="decimal"/>
      <w:lvlText w:val="%1.%2.%3.%4.%5"/>
      <w:lvlJc w:val="left"/>
      <w:pPr>
        <w:tabs>
          <w:tab w:val="num" w:pos="907"/>
        </w:tabs>
        <w:ind w:left="907" w:hanging="1021"/>
      </w:pPr>
      <w:rPr>
        <w:rFonts w:hint="default"/>
      </w:rPr>
    </w:lvl>
    <w:lvl w:ilvl="5">
      <w:start w:val="1"/>
      <w:numFmt w:val="decimal"/>
      <w:lvlText w:val="%1.%2.%3.%4.%5.%6"/>
      <w:lvlJc w:val="left"/>
      <w:pPr>
        <w:tabs>
          <w:tab w:val="num" w:pos="907"/>
        </w:tabs>
        <w:ind w:left="907" w:hanging="1021"/>
      </w:pPr>
      <w:rPr>
        <w:rFonts w:hint="default"/>
      </w:rPr>
    </w:lvl>
    <w:lvl w:ilvl="6">
      <w:start w:val="1"/>
      <w:numFmt w:val="decimal"/>
      <w:lvlText w:val="%1.%2.%3.%4.%5.%6.%7"/>
      <w:lvlJc w:val="left"/>
      <w:pPr>
        <w:tabs>
          <w:tab w:val="num" w:pos="907"/>
        </w:tabs>
        <w:ind w:left="907" w:hanging="1134"/>
      </w:pPr>
      <w:rPr>
        <w:rFonts w:hint="default"/>
      </w:rPr>
    </w:lvl>
    <w:lvl w:ilvl="7">
      <w:start w:val="1"/>
      <w:numFmt w:val="decimal"/>
      <w:lvlText w:val="%1.%2.%3.%4.%5.%6.%7.%8"/>
      <w:lvlJc w:val="left"/>
      <w:pPr>
        <w:tabs>
          <w:tab w:val="num" w:pos="907"/>
        </w:tabs>
        <w:ind w:left="907" w:hanging="1134"/>
      </w:pPr>
      <w:rPr>
        <w:rFonts w:hint="default"/>
      </w:rPr>
    </w:lvl>
    <w:lvl w:ilvl="8">
      <w:start w:val="1"/>
      <w:numFmt w:val="decimal"/>
      <w:lvlText w:val="%1.%2.%3.%4.%5.%6.%7.%8.%9"/>
      <w:lvlJc w:val="left"/>
      <w:pPr>
        <w:tabs>
          <w:tab w:val="num" w:pos="907"/>
        </w:tabs>
        <w:ind w:left="907" w:hanging="1134"/>
      </w:pPr>
      <w:rPr>
        <w:rFonts w:hint="default"/>
      </w:rPr>
    </w:lvl>
  </w:abstractNum>
  <w:abstractNum w:abstractNumId="9" w15:restartNumberingAfterBreak="0">
    <w:nsid w:val="23261890"/>
    <w:multiLevelType w:val="hybridMultilevel"/>
    <w:tmpl w:val="87EE4D18"/>
    <w:lvl w:ilvl="0" w:tplc="A6E0855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23B80432"/>
    <w:multiLevelType w:val="hybridMultilevel"/>
    <w:tmpl w:val="1FB49E66"/>
    <w:lvl w:ilvl="0" w:tplc="E62829A6">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269F56E4"/>
    <w:multiLevelType w:val="hybridMultilevel"/>
    <w:tmpl w:val="FC82B2EE"/>
    <w:lvl w:ilvl="0" w:tplc="EAFA3F7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84B08AE"/>
    <w:multiLevelType w:val="multilevel"/>
    <w:tmpl w:val="7A94DC94"/>
    <w:numStyleLink w:val="ListNumberNested"/>
  </w:abstractNum>
  <w:abstractNum w:abstractNumId="13" w15:restartNumberingAfterBreak="0">
    <w:nsid w:val="2CD766D0"/>
    <w:multiLevelType w:val="hybridMultilevel"/>
    <w:tmpl w:val="3BA4898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2E1354C7"/>
    <w:multiLevelType w:val="hybridMultilevel"/>
    <w:tmpl w:val="F77A935C"/>
    <w:lvl w:ilvl="0" w:tplc="1F30CAA0">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31513DBE"/>
    <w:multiLevelType w:val="hybridMultilevel"/>
    <w:tmpl w:val="198C5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CE121F"/>
    <w:multiLevelType w:val="hybridMultilevel"/>
    <w:tmpl w:val="BDAACCAA"/>
    <w:lvl w:ilvl="0" w:tplc="04090001">
      <w:start w:val="1"/>
      <w:numFmt w:val="bullet"/>
      <w:lvlText w:val=""/>
      <w:lvlJc w:val="left"/>
      <w:pPr>
        <w:ind w:left="1930" w:hanging="360"/>
      </w:pPr>
      <w:rPr>
        <w:rFonts w:ascii="Symbol" w:hAnsi="Symbol" w:hint="default"/>
      </w:rPr>
    </w:lvl>
    <w:lvl w:ilvl="1" w:tplc="04090003" w:tentative="1">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04090001" w:tentative="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abstractNum w:abstractNumId="17" w15:restartNumberingAfterBreak="0">
    <w:nsid w:val="35E831B0"/>
    <w:multiLevelType w:val="hybridMultilevel"/>
    <w:tmpl w:val="731C6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2064F6"/>
    <w:multiLevelType w:val="hybridMultilevel"/>
    <w:tmpl w:val="E5C431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2B6A0A"/>
    <w:multiLevelType w:val="hybridMultilevel"/>
    <w:tmpl w:val="6CA21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675E46"/>
    <w:multiLevelType w:val="multilevel"/>
    <w:tmpl w:val="7A94DC94"/>
    <w:numStyleLink w:val="ListNumberNested"/>
  </w:abstractNum>
  <w:abstractNum w:abstractNumId="21" w15:restartNumberingAfterBreak="0">
    <w:nsid w:val="43060028"/>
    <w:multiLevelType w:val="multilevel"/>
    <w:tmpl w:val="E1B0DED0"/>
    <w:numStyleLink w:val="ListBulletNested"/>
  </w:abstractNum>
  <w:abstractNum w:abstractNumId="22" w15:restartNumberingAfterBreak="0">
    <w:nsid w:val="44676C29"/>
    <w:multiLevelType w:val="hybridMultilevel"/>
    <w:tmpl w:val="4106D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265D29"/>
    <w:multiLevelType w:val="multilevel"/>
    <w:tmpl w:val="7A94DC94"/>
    <w:numStyleLink w:val="ListNumberNested"/>
  </w:abstractNum>
  <w:abstractNum w:abstractNumId="24" w15:restartNumberingAfterBreak="0">
    <w:nsid w:val="49157D2C"/>
    <w:multiLevelType w:val="multilevel"/>
    <w:tmpl w:val="7A94DC94"/>
    <w:numStyleLink w:val="ListNumberNested"/>
  </w:abstractNum>
  <w:abstractNum w:abstractNumId="25" w15:restartNumberingAfterBreak="0">
    <w:nsid w:val="4DAB52B4"/>
    <w:multiLevelType w:val="hybridMultilevel"/>
    <w:tmpl w:val="C2782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BF02A3"/>
    <w:multiLevelType w:val="hybridMultilevel"/>
    <w:tmpl w:val="F7202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826D99"/>
    <w:multiLevelType w:val="multilevel"/>
    <w:tmpl w:val="7A94DC94"/>
    <w:numStyleLink w:val="ListNumberNested"/>
  </w:abstractNum>
  <w:abstractNum w:abstractNumId="28" w15:restartNumberingAfterBreak="0">
    <w:nsid w:val="5AFF3C6E"/>
    <w:multiLevelType w:val="hybridMultilevel"/>
    <w:tmpl w:val="F43A1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691441"/>
    <w:multiLevelType w:val="multilevel"/>
    <w:tmpl w:val="7A94DC94"/>
    <w:styleLink w:val="ListNumberNested"/>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tabs>
          <w:tab w:val="num" w:pos="1701"/>
        </w:tabs>
        <w:ind w:left="1701" w:hanging="425"/>
      </w:pPr>
      <w:rPr>
        <w:rFonts w:hint="default"/>
      </w:rPr>
    </w:lvl>
    <w:lvl w:ilvl="4">
      <w:start w:val="1"/>
      <w:numFmt w:val="lowerLetter"/>
      <w:lvlText w:val="%5)"/>
      <w:lvlJc w:val="left"/>
      <w:pPr>
        <w:tabs>
          <w:tab w:val="num" w:pos="2126"/>
        </w:tabs>
        <w:ind w:left="2126" w:hanging="425"/>
      </w:pPr>
      <w:rPr>
        <w:rFonts w:hint="default"/>
      </w:rPr>
    </w:lvl>
    <w:lvl w:ilvl="5">
      <w:start w:val="1"/>
      <w:numFmt w:val="lowerRoman"/>
      <w:lvlText w:val="%6)"/>
      <w:lvlJc w:val="left"/>
      <w:pPr>
        <w:tabs>
          <w:tab w:val="num" w:pos="2552"/>
        </w:tabs>
        <w:ind w:left="2552" w:hanging="426"/>
      </w:pPr>
      <w:rPr>
        <w:rFonts w:hint="default"/>
      </w:rPr>
    </w:lvl>
    <w:lvl w:ilvl="6">
      <w:start w:val="1"/>
      <w:numFmt w:val="decimal"/>
      <w:lvlText w:val="(%7)"/>
      <w:lvlJc w:val="left"/>
      <w:pPr>
        <w:tabs>
          <w:tab w:val="num" w:pos="2977"/>
        </w:tabs>
        <w:ind w:left="2977" w:hanging="425"/>
      </w:pPr>
      <w:rPr>
        <w:rFonts w:hint="default"/>
      </w:rPr>
    </w:lvl>
    <w:lvl w:ilvl="7">
      <w:start w:val="1"/>
      <w:numFmt w:val="lowerLetter"/>
      <w:lvlText w:val="(%8)"/>
      <w:lvlJc w:val="left"/>
      <w:pPr>
        <w:tabs>
          <w:tab w:val="num" w:pos="3402"/>
        </w:tabs>
        <w:ind w:left="3402" w:hanging="425"/>
      </w:pPr>
      <w:rPr>
        <w:rFonts w:hint="default"/>
      </w:rPr>
    </w:lvl>
    <w:lvl w:ilvl="8">
      <w:start w:val="1"/>
      <w:numFmt w:val="lowerRoman"/>
      <w:lvlText w:val="(%9)"/>
      <w:lvlJc w:val="left"/>
      <w:pPr>
        <w:tabs>
          <w:tab w:val="num" w:pos="3827"/>
        </w:tabs>
        <w:ind w:left="3827" w:hanging="425"/>
      </w:pPr>
      <w:rPr>
        <w:rFonts w:hint="default"/>
      </w:rPr>
    </w:lvl>
  </w:abstractNum>
  <w:abstractNum w:abstractNumId="30" w15:restartNumberingAfterBreak="0">
    <w:nsid w:val="65B10E7A"/>
    <w:multiLevelType w:val="multilevel"/>
    <w:tmpl w:val="002AB7BA"/>
    <w:lvl w:ilvl="0">
      <w:start w:val="1"/>
      <w:numFmt w:val="decimal"/>
      <w:lvlText w:val="Clarification %1:"/>
      <w:lvlJc w:val="left"/>
      <w:pPr>
        <w:tabs>
          <w:tab w:val="num" w:pos="907"/>
        </w:tabs>
        <w:ind w:left="907" w:hanging="90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64"/>
      </w:pPr>
      <w:rPr>
        <w:rFonts w:hint="default"/>
      </w:rPr>
    </w:lvl>
    <w:lvl w:ilvl="4">
      <w:start w:val="1"/>
      <w:numFmt w:val="decimal"/>
      <w:lvlText w:val="%1.%2.%3.%4.%5"/>
      <w:lvlJc w:val="left"/>
      <w:pPr>
        <w:tabs>
          <w:tab w:val="num" w:pos="907"/>
        </w:tabs>
        <w:ind w:left="907" w:hanging="1021"/>
      </w:pPr>
      <w:rPr>
        <w:rFonts w:hint="default"/>
      </w:rPr>
    </w:lvl>
    <w:lvl w:ilvl="5">
      <w:start w:val="1"/>
      <w:numFmt w:val="decimal"/>
      <w:lvlText w:val="%1.%2.%3.%4.%5.%6"/>
      <w:lvlJc w:val="left"/>
      <w:pPr>
        <w:tabs>
          <w:tab w:val="num" w:pos="907"/>
        </w:tabs>
        <w:ind w:left="907" w:hanging="1021"/>
      </w:pPr>
      <w:rPr>
        <w:rFonts w:hint="default"/>
      </w:rPr>
    </w:lvl>
    <w:lvl w:ilvl="6">
      <w:start w:val="1"/>
      <w:numFmt w:val="decimal"/>
      <w:lvlText w:val="%1.%2.%3.%4.%5.%6.%7"/>
      <w:lvlJc w:val="left"/>
      <w:pPr>
        <w:tabs>
          <w:tab w:val="num" w:pos="907"/>
        </w:tabs>
        <w:ind w:left="907" w:hanging="1134"/>
      </w:pPr>
      <w:rPr>
        <w:rFonts w:hint="default"/>
      </w:rPr>
    </w:lvl>
    <w:lvl w:ilvl="7">
      <w:start w:val="1"/>
      <w:numFmt w:val="decimal"/>
      <w:lvlText w:val="%1.%2.%3.%4.%5.%6.%7.%8"/>
      <w:lvlJc w:val="left"/>
      <w:pPr>
        <w:tabs>
          <w:tab w:val="num" w:pos="907"/>
        </w:tabs>
        <w:ind w:left="907" w:hanging="1134"/>
      </w:pPr>
      <w:rPr>
        <w:rFonts w:hint="default"/>
      </w:rPr>
    </w:lvl>
    <w:lvl w:ilvl="8">
      <w:start w:val="1"/>
      <w:numFmt w:val="decimal"/>
      <w:lvlText w:val="%1.%2.%3.%4.%5.%6.%7.%8.%9"/>
      <w:lvlJc w:val="left"/>
      <w:pPr>
        <w:tabs>
          <w:tab w:val="num" w:pos="907"/>
        </w:tabs>
        <w:ind w:left="907" w:hanging="1134"/>
      </w:pPr>
      <w:rPr>
        <w:rFonts w:hint="default"/>
      </w:rPr>
    </w:lvl>
  </w:abstractNum>
  <w:abstractNum w:abstractNumId="31" w15:restartNumberingAfterBreak="0">
    <w:nsid w:val="6739478C"/>
    <w:multiLevelType w:val="multilevel"/>
    <w:tmpl w:val="E1B0DED0"/>
    <w:styleLink w:val="ListBulletNested"/>
    <w:lvl w:ilvl="0">
      <w:start w:val="1"/>
      <w:numFmt w:val="bullet"/>
      <w:lvlText w:val=""/>
      <w:lvlJc w:val="left"/>
      <w:pPr>
        <w:tabs>
          <w:tab w:val="num" w:pos="425"/>
        </w:tabs>
        <w:ind w:left="425" w:hanging="425"/>
      </w:pPr>
      <w:rPr>
        <w:rFonts w:ascii="Symbol" w:hAnsi="Symbol" w:hint="default"/>
        <w:b w:val="0"/>
        <w:i w:val="0"/>
        <w:color w:val="auto"/>
        <w:sz w:val="24"/>
        <w:szCs w:val="24"/>
      </w:rPr>
    </w:lvl>
    <w:lvl w:ilvl="1">
      <w:start w:val="1"/>
      <w:numFmt w:val="bullet"/>
      <w:lvlText w:val="–"/>
      <w:lvlJc w:val="left"/>
      <w:pPr>
        <w:tabs>
          <w:tab w:val="num" w:pos="851"/>
        </w:tabs>
        <w:ind w:left="851" w:hanging="426"/>
      </w:pPr>
      <w:rPr>
        <w:rFonts w:ascii="Tahoma" w:hAnsi="Tahoma" w:hint="default"/>
        <w:b w:val="0"/>
        <w:i w:val="0"/>
        <w:color w:val="auto"/>
        <w:sz w:val="22"/>
        <w:szCs w:val="22"/>
      </w:rPr>
    </w:lvl>
    <w:lvl w:ilvl="2">
      <w:start w:val="1"/>
      <w:numFmt w:val="bullet"/>
      <w:lvlText w:val=""/>
      <w:lvlJc w:val="left"/>
      <w:pPr>
        <w:tabs>
          <w:tab w:val="num" w:pos="1276"/>
        </w:tabs>
        <w:ind w:left="1276" w:hanging="425"/>
      </w:pPr>
      <w:rPr>
        <w:rFonts w:ascii="Wingdings 3" w:hAnsi="Wingdings 3" w:hint="default"/>
        <w:b/>
        <w:i w:val="0"/>
        <w:color w:val="auto"/>
        <w:sz w:val="20"/>
        <w:szCs w:val="20"/>
      </w:rPr>
    </w:lvl>
    <w:lvl w:ilvl="3">
      <w:start w:val="1"/>
      <w:numFmt w:val="bullet"/>
      <w:lvlText w:val=""/>
      <w:lvlJc w:val="left"/>
      <w:pPr>
        <w:tabs>
          <w:tab w:val="num" w:pos="1701"/>
        </w:tabs>
        <w:ind w:left="1701" w:hanging="425"/>
      </w:pPr>
      <w:rPr>
        <w:rFonts w:ascii="Wingdings" w:hAnsi="Wingdings" w:hint="default"/>
        <w:b w:val="0"/>
        <w:i w:val="0"/>
        <w:color w:val="auto"/>
        <w:sz w:val="22"/>
        <w:szCs w:val="22"/>
      </w:rPr>
    </w:lvl>
    <w:lvl w:ilvl="4">
      <w:start w:val="1"/>
      <w:numFmt w:val="bullet"/>
      <w:lvlText w:val=""/>
      <w:lvlJc w:val="left"/>
      <w:pPr>
        <w:tabs>
          <w:tab w:val="num" w:pos="2126"/>
        </w:tabs>
        <w:ind w:left="2126" w:hanging="425"/>
      </w:pPr>
      <w:rPr>
        <w:rFonts w:ascii="Wingdings 3" w:hAnsi="Wingdings 3" w:hint="default"/>
        <w:b w:val="0"/>
        <w:i w:val="0"/>
        <w:color w:val="auto"/>
        <w:sz w:val="22"/>
        <w:szCs w:val="22"/>
      </w:rPr>
    </w:lvl>
    <w:lvl w:ilvl="5">
      <w:start w:val="1"/>
      <w:numFmt w:val="bullet"/>
      <w:lvlText w:val="•"/>
      <w:lvlJc w:val="left"/>
      <w:pPr>
        <w:tabs>
          <w:tab w:val="num" w:pos="2552"/>
        </w:tabs>
        <w:ind w:left="2552" w:hanging="426"/>
      </w:pPr>
      <w:rPr>
        <w:rFonts w:ascii="Tahoma" w:hAnsi="Tahoma" w:hint="default"/>
        <w:b w:val="0"/>
        <w:i w:val="0"/>
        <w:color w:val="auto"/>
        <w:sz w:val="24"/>
        <w:szCs w:val="24"/>
      </w:rPr>
    </w:lvl>
    <w:lvl w:ilvl="6">
      <w:start w:val="1"/>
      <w:numFmt w:val="bullet"/>
      <w:lvlText w:val="–"/>
      <w:lvlJc w:val="left"/>
      <w:pPr>
        <w:tabs>
          <w:tab w:val="num" w:pos="2977"/>
        </w:tabs>
        <w:ind w:left="2977" w:hanging="425"/>
      </w:pPr>
      <w:rPr>
        <w:rFonts w:ascii="Tahoma" w:hAnsi="Tahoma" w:hint="default"/>
        <w:b w:val="0"/>
        <w:i w:val="0"/>
        <w:color w:val="auto"/>
        <w:sz w:val="22"/>
        <w:szCs w:val="22"/>
      </w:rPr>
    </w:lvl>
    <w:lvl w:ilvl="7">
      <w:start w:val="1"/>
      <w:numFmt w:val="bullet"/>
      <w:lvlText w:val=""/>
      <w:lvlJc w:val="left"/>
      <w:pPr>
        <w:tabs>
          <w:tab w:val="num" w:pos="3402"/>
        </w:tabs>
        <w:ind w:left="3402" w:hanging="425"/>
      </w:pPr>
      <w:rPr>
        <w:rFonts w:ascii="Wingdings 3" w:hAnsi="Wingdings 3" w:hint="default"/>
        <w:b/>
        <w:i w:val="0"/>
        <w:color w:val="auto"/>
        <w:sz w:val="20"/>
        <w:szCs w:val="20"/>
      </w:rPr>
    </w:lvl>
    <w:lvl w:ilvl="8">
      <w:start w:val="1"/>
      <w:numFmt w:val="bullet"/>
      <w:lvlText w:val=""/>
      <w:lvlJc w:val="left"/>
      <w:pPr>
        <w:tabs>
          <w:tab w:val="num" w:pos="3827"/>
        </w:tabs>
        <w:ind w:left="3827" w:hanging="425"/>
      </w:pPr>
      <w:rPr>
        <w:rFonts w:ascii="Wingdings" w:hAnsi="Wingdings" w:hint="default"/>
        <w:b w:val="0"/>
        <w:i w:val="0"/>
        <w:color w:val="auto"/>
        <w:sz w:val="22"/>
        <w:szCs w:val="22"/>
      </w:rPr>
    </w:lvl>
  </w:abstractNum>
  <w:abstractNum w:abstractNumId="32" w15:restartNumberingAfterBreak="0">
    <w:nsid w:val="69523E06"/>
    <w:multiLevelType w:val="hybridMultilevel"/>
    <w:tmpl w:val="731C6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C32308"/>
    <w:multiLevelType w:val="hybridMultilevel"/>
    <w:tmpl w:val="0B621EE2"/>
    <w:lvl w:ilvl="0" w:tplc="982419EE">
      <w:start w:val="1"/>
      <w:numFmt w:val="decimal"/>
      <w:lvlText w:val="%1."/>
      <w:lvlJc w:val="left"/>
      <w:pPr>
        <w:tabs>
          <w:tab w:val="num" w:pos="1800"/>
        </w:tabs>
        <w:ind w:left="1800" w:hanging="144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15:restartNumberingAfterBreak="0">
    <w:nsid w:val="714E145D"/>
    <w:multiLevelType w:val="hybridMultilevel"/>
    <w:tmpl w:val="E2B6264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5" w15:restartNumberingAfterBreak="0">
    <w:nsid w:val="74203BFA"/>
    <w:multiLevelType w:val="hybridMultilevel"/>
    <w:tmpl w:val="0BFAF7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8D4F71"/>
    <w:multiLevelType w:val="multilevel"/>
    <w:tmpl w:val="002AB7BA"/>
    <w:lvl w:ilvl="0">
      <w:start w:val="1"/>
      <w:numFmt w:val="decimal"/>
      <w:lvlText w:val="Clarification %1:"/>
      <w:lvlJc w:val="left"/>
      <w:pPr>
        <w:tabs>
          <w:tab w:val="num" w:pos="907"/>
        </w:tabs>
        <w:ind w:left="907" w:hanging="90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64"/>
      </w:pPr>
      <w:rPr>
        <w:rFonts w:hint="default"/>
      </w:rPr>
    </w:lvl>
    <w:lvl w:ilvl="4">
      <w:start w:val="1"/>
      <w:numFmt w:val="decimal"/>
      <w:lvlText w:val="%1.%2.%3.%4.%5"/>
      <w:lvlJc w:val="left"/>
      <w:pPr>
        <w:tabs>
          <w:tab w:val="num" w:pos="907"/>
        </w:tabs>
        <w:ind w:left="907" w:hanging="1021"/>
      </w:pPr>
      <w:rPr>
        <w:rFonts w:hint="default"/>
      </w:rPr>
    </w:lvl>
    <w:lvl w:ilvl="5">
      <w:start w:val="1"/>
      <w:numFmt w:val="decimal"/>
      <w:lvlText w:val="%1.%2.%3.%4.%5.%6"/>
      <w:lvlJc w:val="left"/>
      <w:pPr>
        <w:tabs>
          <w:tab w:val="num" w:pos="907"/>
        </w:tabs>
        <w:ind w:left="907" w:hanging="1021"/>
      </w:pPr>
      <w:rPr>
        <w:rFonts w:hint="default"/>
      </w:rPr>
    </w:lvl>
    <w:lvl w:ilvl="6">
      <w:start w:val="1"/>
      <w:numFmt w:val="decimal"/>
      <w:lvlText w:val="%1.%2.%3.%4.%5.%6.%7"/>
      <w:lvlJc w:val="left"/>
      <w:pPr>
        <w:tabs>
          <w:tab w:val="num" w:pos="907"/>
        </w:tabs>
        <w:ind w:left="907" w:hanging="1134"/>
      </w:pPr>
      <w:rPr>
        <w:rFonts w:hint="default"/>
      </w:rPr>
    </w:lvl>
    <w:lvl w:ilvl="7">
      <w:start w:val="1"/>
      <w:numFmt w:val="decimal"/>
      <w:lvlText w:val="%1.%2.%3.%4.%5.%6.%7.%8"/>
      <w:lvlJc w:val="left"/>
      <w:pPr>
        <w:tabs>
          <w:tab w:val="num" w:pos="907"/>
        </w:tabs>
        <w:ind w:left="907" w:hanging="1134"/>
      </w:pPr>
      <w:rPr>
        <w:rFonts w:hint="default"/>
      </w:rPr>
    </w:lvl>
    <w:lvl w:ilvl="8">
      <w:start w:val="1"/>
      <w:numFmt w:val="decimal"/>
      <w:lvlText w:val="%1.%2.%3.%4.%5.%6.%7.%8.%9"/>
      <w:lvlJc w:val="left"/>
      <w:pPr>
        <w:tabs>
          <w:tab w:val="num" w:pos="907"/>
        </w:tabs>
        <w:ind w:left="907" w:hanging="1134"/>
      </w:pPr>
      <w:rPr>
        <w:rFonts w:hint="default"/>
      </w:rPr>
    </w:lvl>
  </w:abstractNum>
  <w:abstractNum w:abstractNumId="37" w15:restartNumberingAfterBreak="0">
    <w:nsid w:val="79C30DFA"/>
    <w:multiLevelType w:val="hybridMultilevel"/>
    <w:tmpl w:val="4C32A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6B5F50"/>
    <w:multiLevelType w:val="multilevel"/>
    <w:tmpl w:val="A42E1A68"/>
    <w:lvl w:ilvl="0">
      <w:start w:val="1"/>
      <w:numFmt w:val="decimal"/>
      <w:lvlText w:val="Clarification %1:"/>
      <w:lvlJc w:val="left"/>
      <w:pPr>
        <w:tabs>
          <w:tab w:val="num" w:pos="907"/>
        </w:tabs>
        <w:ind w:left="907" w:hanging="90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64"/>
      </w:pPr>
      <w:rPr>
        <w:rFonts w:hint="default"/>
      </w:rPr>
    </w:lvl>
    <w:lvl w:ilvl="4">
      <w:start w:val="1"/>
      <w:numFmt w:val="decimal"/>
      <w:lvlText w:val="%1.%2.%3.%4.%5"/>
      <w:lvlJc w:val="left"/>
      <w:pPr>
        <w:tabs>
          <w:tab w:val="num" w:pos="907"/>
        </w:tabs>
        <w:ind w:left="907" w:hanging="1021"/>
      </w:pPr>
      <w:rPr>
        <w:rFonts w:hint="default"/>
      </w:rPr>
    </w:lvl>
    <w:lvl w:ilvl="5">
      <w:start w:val="1"/>
      <w:numFmt w:val="decimal"/>
      <w:lvlText w:val="%1.%2.%3.%4.%5.%6"/>
      <w:lvlJc w:val="left"/>
      <w:pPr>
        <w:tabs>
          <w:tab w:val="num" w:pos="907"/>
        </w:tabs>
        <w:ind w:left="907" w:hanging="1021"/>
      </w:pPr>
      <w:rPr>
        <w:rFonts w:hint="default"/>
      </w:rPr>
    </w:lvl>
    <w:lvl w:ilvl="6">
      <w:start w:val="1"/>
      <w:numFmt w:val="decimal"/>
      <w:lvlText w:val="%1.%2.%3.%4.%5.%6.%7"/>
      <w:lvlJc w:val="left"/>
      <w:pPr>
        <w:tabs>
          <w:tab w:val="num" w:pos="907"/>
        </w:tabs>
        <w:ind w:left="907" w:hanging="1134"/>
      </w:pPr>
      <w:rPr>
        <w:rFonts w:hint="default"/>
      </w:rPr>
    </w:lvl>
    <w:lvl w:ilvl="7">
      <w:start w:val="1"/>
      <w:numFmt w:val="decimal"/>
      <w:lvlText w:val="%1.%2.%3.%4.%5.%6.%7.%8"/>
      <w:lvlJc w:val="left"/>
      <w:pPr>
        <w:tabs>
          <w:tab w:val="num" w:pos="907"/>
        </w:tabs>
        <w:ind w:left="907" w:hanging="1134"/>
      </w:pPr>
      <w:rPr>
        <w:rFonts w:hint="default"/>
      </w:rPr>
    </w:lvl>
    <w:lvl w:ilvl="8">
      <w:start w:val="1"/>
      <w:numFmt w:val="decimal"/>
      <w:lvlText w:val="%1.%2.%3.%4.%5.%6.%7.%8.%9"/>
      <w:lvlJc w:val="left"/>
      <w:pPr>
        <w:tabs>
          <w:tab w:val="num" w:pos="907"/>
        </w:tabs>
        <w:ind w:left="907" w:hanging="1134"/>
      </w:pPr>
      <w:rPr>
        <w:rFonts w:hint="default"/>
      </w:rPr>
    </w:lvl>
  </w:abstractNum>
  <w:abstractNum w:abstractNumId="39" w15:restartNumberingAfterBreak="0">
    <w:nsid w:val="7D1F5278"/>
    <w:multiLevelType w:val="multilevel"/>
    <w:tmpl w:val="AA58A000"/>
    <w:lvl w:ilvl="0">
      <w:start w:val="1"/>
      <w:numFmt w:val="decimal"/>
      <w:pStyle w:val="Style1"/>
      <w:lvlText w:val="%1"/>
      <w:lvlJc w:val="left"/>
      <w:pPr>
        <w:tabs>
          <w:tab w:val="num" w:pos="851"/>
        </w:tabs>
        <w:ind w:left="851" w:hanging="851"/>
      </w:pPr>
      <w:rPr>
        <w:rFonts w:ascii="Calibri" w:hAnsi="Calibri" w:cs="Calibri" w:hint="default"/>
        <w:b w:val="0"/>
        <w:i w:val="0"/>
        <w:sz w:val="22"/>
      </w:rPr>
    </w:lvl>
    <w:lvl w:ilvl="1">
      <w:start w:val="1"/>
      <w:numFmt w:val="decimal"/>
      <w:pStyle w:val="Style2"/>
      <w:lvlText w:val="%1.%2"/>
      <w:lvlJc w:val="left"/>
      <w:pPr>
        <w:tabs>
          <w:tab w:val="num" w:pos="851"/>
        </w:tabs>
        <w:ind w:left="851" w:hanging="851"/>
      </w:pPr>
      <w:rPr>
        <w:rFonts w:ascii="Calibri" w:hAnsi="Calibri" w:cs="Calibri" w:hint="default"/>
        <w:b w:val="0"/>
        <w:i w:val="0"/>
        <w:sz w:val="22"/>
      </w:rPr>
    </w:lvl>
    <w:lvl w:ilvl="2">
      <w:start w:val="1"/>
      <w:numFmt w:val="decimal"/>
      <w:lvlText w:val="%1.%2.%3"/>
      <w:lvlJc w:val="left"/>
      <w:pPr>
        <w:tabs>
          <w:tab w:val="num" w:pos="1701"/>
        </w:tabs>
        <w:ind w:left="1701" w:hanging="850"/>
      </w:pPr>
      <w:rPr>
        <w:rFonts w:ascii="Calibri" w:hAnsi="Calibri" w:cs="Times New Roman" w:hint="default"/>
        <w:b w:val="0"/>
        <w:i w:val="0"/>
        <w:sz w:val="22"/>
        <w:szCs w:val="22"/>
      </w:rPr>
    </w:lvl>
    <w:lvl w:ilvl="3">
      <w:start w:val="1"/>
      <w:numFmt w:val="decimal"/>
      <w:lvlText w:val="%1.%2.%3.%4"/>
      <w:lvlJc w:val="left"/>
      <w:pPr>
        <w:tabs>
          <w:tab w:val="num" w:pos="1701"/>
        </w:tabs>
        <w:ind w:left="2835"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7DBE3F9A"/>
    <w:multiLevelType w:val="hybridMultilevel"/>
    <w:tmpl w:val="731C6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1F2A6A"/>
    <w:multiLevelType w:val="hybridMultilevel"/>
    <w:tmpl w:val="BEFA24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1"/>
  </w:num>
  <w:num w:numId="3">
    <w:abstractNumId w:val="29"/>
  </w:num>
  <w:num w:numId="4">
    <w:abstractNumId w:val="13"/>
  </w:num>
  <w:num w:numId="5">
    <w:abstractNumId w:val="5"/>
  </w:num>
  <w:num w:numId="6">
    <w:abstractNumId w:val="23"/>
  </w:num>
  <w:num w:numId="7">
    <w:abstractNumId w:val="38"/>
  </w:num>
  <w:num w:numId="8">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 w:numId="11">
    <w:abstractNumId w:val="24"/>
  </w:num>
  <w:num w:numId="12">
    <w:abstractNumId w:val="27"/>
  </w:num>
  <w:num w:numId="13">
    <w:abstractNumId w:val="21"/>
  </w:num>
  <w:num w:numId="14">
    <w:abstractNumId w:val="12"/>
  </w:num>
  <w:num w:numId="15">
    <w:abstractNumId w:val="14"/>
  </w:num>
  <w:num w:numId="16">
    <w:abstractNumId w:val="9"/>
  </w:num>
  <w:num w:numId="17">
    <w:abstractNumId w:val="11"/>
  </w:num>
  <w:num w:numId="18">
    <w:abstractNumId w:val="20"/>
  </w:num>
  <w:num w:numId="19">
    <w:abstractNumId w:val="33"/>
  </w:num>
  <w:num w:numId="20">
    <w:abstractNumId w:val="10"/>
  </w:num>
  <w:num w:numId="21">
    <w:abstractNumId w:val="39"/>
  </w:num>
  <w:num w:numId="22">
    <w:abstractNumId w:val="2"/>
  </w:num>
  <w:num w:numId="23">
    <w:abstractNumId w:val="18"/>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6"/>
  </w:num>
  <w:num w:numId="27">
    <w:abstractNumId w:val="34"/>
  </w:num>
  <w:num w:numId="28">
    <w:abstractNumId w:val="4"/>
  </w:num>
  <w:num w:numId="29">
    <w:abstractNumId w:val="4"/>
  </w:num>
  <w:num w:numId="30">
    <w:abstractNumId w:val="6"/>
  </w:num>
  <w:num w:numId="31">
    <w:abstractNumId w:val="41"/>
  </w:num>
  <w:num w:numId="32">
    <w:abstractNumId w:val="28"/>
  </w:num>
  <w:num w:numId="33">
    <w:abstractNumId w:val="36"/>
  </w:num>
  <w:num w:numId="34">
    <w:abstractNumId w:val="22"/>
  </w:num>
  <w:num w:numId="35">
    <w:abstractNumId w:val="15"/>
  </w:num>
  <w:num w:numId="36">
    <w:abstractNumId w:val="26"/>
  </w:num>
  <w:num w:numId="37">
    <w:abstractNumId w:val="25"/>
  </w:num>
  <w:num w:numId="38">
    <w:abstractNumId w:val="37"/>
  </w:num>
  <w:num w:numId="39">
    <w:abstractNumId w:val="19"/>
  </w:num>
  <w:num w:numId="40">
    <w:abstractNumId w:val="8"/>
  </w:num>
  <w:num w:numId="41">
    <w:abstractNumId w:val="30"/>
  </w:num>
  <w:num w:numId="42">
    <w:abstractNumId w:val="17"/>
  </w:num>
  <w:num w:numId="43">
    <w:abstractNumId w:val="0"/>
  </w:num>
  <w:num w:numId="44">
    <w:abstractNumId w:val="40"/>
  </w:num>
  <w:num w:numId="45">
    <w:abstractNumId w:val="32"/>
  </w:num>
  <w:num w:numId="46">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8EC"/>
    <w:rsid w:val="00010684"/>
    <w:rsid w:val="00011AB0"/>
    <w:rsid w:val="000122ED"/>
    <w:rsid w:val="00012F65"/>
    <w:rsid w:val="000152E2"/>
    <w:rsid w:val="000200E7"/>
    <w:rsid w:val="00022E5D"/>
    <w:rsid w:val="00026C79"/>
    <w:rsid w:val="000333BC"/>
    <w:rsid w:val="00033F9D"/>
    <w:rsid w:val="0004070C"/>
    <w:rsid w:val="000409BE"/>
    <w:rsid w:val="00041F61"/>
    <w:rsid w:val="00043926"/>
    <w:rsid w:val="00053536"/>
    <w:rsid w:val="000548A0"/>
    <w:rsid w:val="00054943"/>
    <w:rsid w:val="00054DD1"/>
    <w:rsid w:val="000550FF"/>
    <w:rsid w:val="00055249"/>
    <w:rsid w:val="000555A0"/>
    <w:rsid w:val="00057E46"/>
    <w:rsid w:val="00062315"/>
    <w:rsid w:val="00064884"/>
    <w:rsid w:val="00064CF3"/>
    <w:rsid w:val="00064F61"/>
    <w:rsid w:val="00072012"/>
    <w:rsid w:val="000739FA"/>
    <w:rsid w:val="00073C82"/>
    <w:rsid w:val="000746B1"/>
    <w:rsid w:val="000752DE"/>
    <w:rsid w:val="0007714E"/>
    <w:rsid w:val="00080B8F"/>
    <w:rsid w:val="00086DE6"/>
    <w:rsid w:val="00091593"/>
    <w:rsid w:val="00095976"/>
    <w:rsid w:val="00095D0C"/>
    <w:rsid w:val="00095E5E"/>
    <w:rsid w:val="000A0864"/>
    <w:rsid w:val="000A2FE7"/>
    <w:rsid w:val="000A3435"/>
    <w:rsid w:val="000A4F70"/>
    <w:rsid w:val="000A5575"/>
    <w:rsid w:val="000B6E40"/>
    <w:rsid w:val="000C1B26"/>
    <w:rsid w:val="000C5849"/>
    <w:rsid w:val="000C6498"/>
    <w:rsid w:val="000D0573"/>
    <w:rsid w:val="000D53F0"/>
    <w:rsid w:val="000D7D3C"/>
    <w:rsid w:val="000E2A69"/>
    <w:rsid w:val="000E5066"/>
    <w:rsid w:val="000E50D4"/>
    <w:rsid w:val="000F1C31"/>
    <w:rsid w:val="000F2522"/>
    <w:rsid w:val="000F70BE"/>
    <w:rsid w:val="00112FA8"/>
    <w:rsid w:val="00120B44"/>
    <w:rsid w:val="00126EF8"/>
    <w:rsid w:val="001332AF"/>
    <w:rsid w:val="00134D15"/>
    <w:rsid w:val="00134E78"/>
    <w:rsid w:val="00135911"/>
    <w:rsid w:val="00135B8A"/>
    <w:rsid w:val="0013629D"/>
    <w:rsid w:val="00142172"/>
    <w:rsid w:val="001531A4"/>
    <w:rsid w:val="001544FB"/>
    <w:rsid w:val="001560BC"/>
    <w:rsid w:val="00157382"/>
    <w:rsid w:val="00164F0C"/>
    <w:rsid w:val="00165199"/>
    <w:rsid w:val="00166098"/>
    <w:rsid w:val="001727D6"/>
    <w:rsid w:val="0017764A"/>
    <w:rsid w:val="0018110A"/>
    <w:rsid w:val="001857CF"/>
    <w:rsid w:val="001A01F1"/>
    <w:rsid w:val="001A3C58"/>
    <w:rsid w:val="001A78A4"/>
    <w:rsid w:val="001B0F89"/>
    <w:rsid w:val="001B2DB2"/>
    <w:rsid w:val="001B41EF"/>
    <w:rsid w:val="001B4EC9"/>
    <w:rsid w:val="001B590F"/>
    <w:rsid w:val="001C78C8"/>
    <w:rsid w:val="001D0DB7"/>
    <w:rsid w:val="001D5504"/>
    <w:rsid w:val="001D5FD4"/>
    <w:rsid w:val="001E26D6"/>
    <w:rsid w:val="001E3F4D"/>
    <w:rsid w:val="001F666D"/>
    <w:rsid w:val="001F6672"/>
    <w:rsid w:val="002004B7"/>
    <w:rsid w:val="002007EA"/>
    <w:rsid w:val="00204AE7"/>
    <w:rsid w:val="002143E1"/>
    <w:rsid w:val="00216A15"/>
    <w:rsid w:val="00217797"/>
    <w:rsid w:val="00217ABF"/>
    <w:rsid w:val="00217D50"/>
    <w:rsid w:val="002327E0"/>
    <w:rsid w:val="00233C91"/>
    <w:rsid w:val="00233DF5"/>
    <w:rsid w:val="00234023"/>
    <w:rsid w:val="0023649B"/>
    <w:rsid w:val="002405CD"/>
    <w:rsid w:val="00247B38"/>
    <w:rsid w:val="0025141B"/>
    <w:rsid w:val="00254529"/>
    <w:rsid w:val="00255B41"/>
    <w:rsid w:val="00256389"/>
    <w:rsid w:val="00260653"/>
    <w:rsid w:val="00261903"/>
    <w:rsid w:val="002664B9"/>
    <w:rsid w:val="002673C2"/>
    <w:rsid w:val="00273D25"/>
    <w:rsid w:val="00284457"/>
    <w:rsid w:val="002905BB"/>
    <w:rsid w:val="0029202B"/>
    <w:rsid w:val="00293156"/>
    <w:rsid w:val="00293F8A"/>
    <w:rsid w:val="002A0FB5"/>
    <w:rsid w:val="002A161C"/>
    <w:rsid w:val="002A1A5B"/>
    <w:rsid w:val="002A2E1E"/>
    <w:rsid w:val="002A368F"/>
    <w:rsid w:val="002B04F4"/>
    <w:rsid w:val="002B3D37"/>
    <w:rsid w:val="002C1140"/>
    <w:rsid w:val="002C495E"/>
    <w:rsid w:val="002C6ACA"/>
    <w:rsid w:val="002D130C"/>
    <w:rsid w:val="002D5E71"/>
    <w:rsid w:val="002D7905"/>
    <w:rsid w:val="002E4EB7"/>
    <w:rsid w:val="002E66E8"/>
    <w:rsid w:val="002E687C"/>
    <w:rsid w:val="002F0F79"/>
    <w:rsid w:val="0030239D"/>
    <w:rsid w:val="0030478E"/>
    <w:rsid w:val="0030618B"/>
    <w:rsid w:val="00310E35"/>
    <w:rsid w:val="00333370"/>
    <w:rsid w:val="00343A78"/>
    <w:rsid w:val="0034569F"/>
    <w:rsid w:val="00345AA8"/>
    <w:rsid w:val="00352A93"/>
    <w:rsid w:val="00354FAC"/>
    <w:rsid w:val="003644CA"/>
    <w:rsid w:val="00365291"/>
    <w:rsid w:val="003708F8"/>
    <w:rsid w:val="003757A7"/>
    <w:rsid w:val="00375874"/>
    <w:rsid w:val="00376895"/>
    <w:rsid w:val="00380229"/>
    <w:rsid w:val="0038573C"/>
    <w:rsid w:val="00385B79"/>
    <w:rsid w:val="0039317D"/>
    <w:rsid w:val="003951E2"/>
    <w:rsid w:val="0039697F"/>
    <w:rsid w:val="003A1352"/>
    <w:rsid w:val="003B43C2"/>
    <w:rsid w:val="003C292F"/>
    <w:rsid w:val="003C72A1"/>
    <w:rsid w:val="003C7A34"/>
    <w:rsid w:val="003C7FE0"/>
    <w:rsid w:val="003D0D81"/>
    <w:rsid w:val="003D3E74"/>
    <w:rsid w:val="003D5BF7"/>
    <w:rsid w:val="003D5D1A"/>
    <w:rsid w:val="003E02C6"/>
    <w:rsid w:val="003E0C82"/>
    <w:rsid w:val="003E13F5"/>
    <w:rsid w:val="003E4BEC"/>
    <w:rsid w:val="003E5BDD"/>
    <w:rsid w:val="003E7DD6"/>
    <w:rsid w:val="003F1E2D"/>
    <w:rsid w:val="003F23A5"/>
    <w:rsid w:val="003F51E7"/>
    <w:rsid w:val="0040077A"/>
    <w:rsid w:val="00400ECB"/>
    <w:rsid w:val="004021A2"/>
    <w:rsid w:val="004032C6"/>
    <w:rsid w:val="004048F2"/>
    <w:rsid w:val="00405B2C"/>
    <w:rsid w:val="00411C59"/>
    <w:rsid w:val="00412153"/>
    <w:rsid w:val="004166C8"/>
    <w:rsid w:val="004206C1"/>
    <w:rsid w:val="00420A1F"/>
    <w:rsid w:val="0042205D"/>
    <w:rsid w:val="0042319D"/>
    <w:rsid w:val="00426FF0"/>
    <w:rsid w:val="0043066D"/>
    <w:rsid w:val="00433754"/>
    <w:rsid w:val="0043545E"/>
    <w:rsid w:val="0043693A"/>
    <w:rsid w:val="00437093"/>
    <w:rsid w:val="0043774D"/>
    <w:rsid w:val="00437974"/>
    <w:rsid w:val="00440124"/>
    <w:rsid w:val="00441399"/>
    <w:rsid w:val="00441D45"/>
    <w:rsid w:val="004420CF"/>
    <w:rsid w:val="00442B52"/>
    <w:rsid w:val="0044490D"/>
    <w:rsid w:val="0044583E"/>
    <w:rsid w:val="004460A5"/>
    <w:rsid w:val="0044611C"/>
    <w:rsid w:val="00451689"/>
    <w:rsid w:val="00457EBD"/>
    <w:rsid w:val="00461CF7"/>
    <w:rsid w:val="00465A10"/>
    <w:rsid w:val="00473731"/>
    <w:rsid w:val="00475624"/>
    <w:rsid w:val="00480445"/>
    <w:rsid w:val="00481CCF"/>
    <w:rsid w:val="004821A8"/>
    <w:rsid w:val="0048276A"/>
    <w:rsid w:val="004875AE"/>
    <w:rsid w:val="00487745"/>
    <w:rsid w:val="004903A5"/>
    <w:rsid w:val="0049075F"/>
    <w:rsid w:val="00495DA3"/>
    <w:rsid w:val="004A5009"/>
    <w:rsid w:val="004B2272"/>
    <w:rsid w:val="004C046D"/>
    <w:rsid w:val="004C4103"/>
    <w:rsid w:val="004C5602"/>
    <w:rsid w:val="004C6689"/>
    <w:rsid w:val="004D2909"/>
    <w:rsid w:val="004D2C31"/>
    <w:rsid w:val="004D4685"/>
    <w:rsid w:val="004D69C7"/>
    <w:rsid w:val="004E31B7"/>
    <w:rsid w:val="004E4D22"/>
    <w:rsid w:val="004F100A"/>
    <w:rsid w:val="004F3143"/>
    <w:rsid w:val="004F46D1"/>
    <w:rsid w:val="004F4FFB"/>
    <w:rsid w:val="004F5664"/>
    <w:rsid w:val="00503AC1"/>
    <w:rsid w:val="00507E6E"/>
    <w:rsid w:val="00522462"/>
    <w:rsid w:val="00535A1E"/>
    <w:rsid w:val="00542A09"/>
    <w:rsid w:val="005527B2"/>
    <w:rsid w:val="00557016"/>
    <w:rsid w:val="005648F5"/>
    <w:rsid w:val="00576688"/>
    <w:rsid w:val="005769CB"/>
    <w:rsid w:val="005841F4"/>
    <w:rsid w:val="00584474"/>
    <w:rsid w:val="00585E23"/>
    <w:rsid w:val="0059308A"/>
    <w:rsid w:val="0059557B"/>
    <w:rsid w:val="00595C7F"/>
    <w:rsid w:val="00597000"/>
    <w:rsid w:val="005A1F5C"/>
    <w:rsid w:val="005A55EE"/>
    <w:rsid w:val="005A6B6B"/>
    <w:rsid w:val="005C1A83"/>
    <w:rsid w:val="005C2A72"/>
    <w:rsid w:val="005D3000"/>
    <w:rsid w:val="005D4C78"/>
    <w:rsid w:val="005D7FC7"/>
    <w:rsid w:val="005E01AA"/>
    <w:rsid w:val="005F10E6"/>
    <w:rsid w:val="005F5B9D"/>
    <w:rsid w:val="0060140F"/>
    <w:rsid w:val="006043CB"/>
    <w:rsid w:val="00617663"/>
    <w:rsid w:val="00622D6E"/>
    <w:rsid w:val="00623174"/>
    <w:rsid w:val="00623B9B"/>
    <w:rsid w:val="00626E83"/>
    <w:rsid w:val="00633D97"/>
    <w:rsid w:val="0063556E"/>
    <w:rsid w:val="006360DE"/>
    <w:rsid w:val="00636B81"/>
    <w:rsid w:val="00642398"/>
    <w:rsid w:val="00644F4E"/>
    <w:rsid w:val="006455B7"/>
    <w:rsid w:val="00646259"/>
    <w:rsid w:val="006462B1"/>
    <w:rsid w:val="00650067"/>
    <w:rsid w:val="006516DC"/>
    <w:rsid w:val="00651BED"/>
    <w:rsid w:val="0065475F"/>
    <w:rsid w:val="00666871"/>
    <w:rsid w:val="0067221D"/>
    <w:rsid w:val="00672FD0"/>
    <w:rsid w:val="00674473"/>
    <w:rsid w:val="006801D5"/>
    <w:rsid w:val="00685068"/>
    <w:rsid w:val="0068771D"/>
    <w:rsid w:val="006958CA"/>
    <w:rsid w:val="00696F70"/>
    <w:rsid w:val="006974DA"/>
    <w:rsid w:val="006B13F8"/>
    <w:rsid w:val="006C4B60"/>
    <w:rsid w:val="006C5E15"/>
    <w:rsid w:val="006D2956"/>
    <w:rsid w:val="006D2B73"/>
    <w:rsid w:val="006D4144"/>
    <w:rsid w:val="006D5771"/>
    <w:rsid w:val="006D6E38"/>
    <w:rsid w:val="006D791E"/>
    <w:rsid w:val="006E0D19"/>
    <w:rsid w:val="006E141F"/>
    <w:rsid w:val="006E1F62"/>
    <w:rsid w:val="006E4EA7"/>
    <w:rsid w:val="006F0764"/>
    <w:rsid w:val="006F0A86"/>
    <w:rsid w:val="006F4358"/>
    <w:rsid w:val="00703C9F"/>
    <w:rsid w:val="00710CA2"/>
    <w:rsid w:val="00712D70"/>
    <w:rsid w:val="0071498C"/>
    <w:rsid w:val="00714FEB"/>
    <w:rsid w:val="00715D32"/>
    <w:rsid w:val="007328F2"/>
    <w:rsid w:val="0073557A"/>
    <w:rsid w:val="007364CB"/>
    <w:rsid w:val="007377D3"/>
    <w:rsid w:val="00741728"/>
    <w:rsid w:val="00744727"/>
    <w:rsid w:val="00744EC6"/>
    <w:rsid w:val="0074620F"/>
    <w:rsid w:val="007476FB"/>
    <w:rsid w:val="00747C86"/>
    <w:rsid w:val="007568F0"/>
    <w:rsid w:val="007632AE"/>
    <w:rsid w:val="00773677"/>
    <w:rsid w:val="007805B7"/>
    <w:rsid w:val="00780ECC"/>
    <w:rsid w:val="00781BC7"/>
    <w:rsid w:val="0078324D"/>
    <w:rsid w:val="00786613"/>
    <w:rsid w:val="00787360"/>
    <w:rsid w:val="007902F0"/>
    <w:rsid w:val="0079472A"/>
    <w:rsid w:val="007A3369"/>
    <w:rsid w:val="007A6389"/>
    <w:rsid w:val="007A7B02"/>
    <w:rsid w:val="007B1771"/>
    <w:rsid w:val="007B315B"/>
    <w:rsid w:val="007B6573"/>
    <w:rsid w:val="007C05E8"/>
    <w:rsid w:val="007C49AD"/>
    <w:rsid w:val="007C5E15"/>
    <w:rsid w:val="007C7A94"/>
    <w:rsid w:val="007D0098"/>
    <w:rsid w:val="007D1787"/>
    <w:rsid w:val="007D2BCC"/>
    <w:rsid w:val="007D7820"/>
    <w:rsid w:val="007E0CB2"/>
    <w:rsid w:val="007E37C5"/>
    <w:rsid w:val="007E4DB7"/>
    <w:rsid w:val="007E6758"/>
    <w:rsid w:val="007F1821"/>
    <w:rsid w:val="007F4166"/>
    <w:rsid w:val="00800058"/>
    <w:rsid w:val="008017B4"/>
    <w:rsid w:val="00812FD1"/>
    <w:rsid w:val="00814DF3"/>
    <w:rsid w:val="00815568"/>
    <w:rsid w:val="008252E4"/>
    <w:rsid w:val="008267DA"/>
    <w:rsid w:val="00827EFF"/>
    <w:rsid w:val="00831644"/>
    <w:rsid w:val="00835EE3"/>
    <w:rsid w:val="00835F56"/>
    <w:rsid w:val="008407AD"/>
    <w:rsid w:val="00840DC6"/>
    <w:rsid w:val="0084444F"/>
    <w:rsid w:val="008447C4"/>
    <w:rsid w:val="0084700F"/>
    <w:rsid w:val="008478C0"/>
    <w:rsid w:val="00860517"/>
    <w:rsid w:val="00860F42"/>
    <w:rsid w:val="0086169B"/>
    <w:rsid w:val="00864A78"/>
    <w:rsid w:val="00867143"/>
    <w:rsid w:val="00867C13"/>
    <w:rsid w:val="0087057A"/>
    <w:rsid w:val="008709BB"/>
    <w:rsid w:val="00874424"/>
    <w:rsid w:val="008757C4"/>
    <w:rsid w:val="0087596D"/>
    <w:rsid w:val="00882BAB"/>
    <w:rsid w:val="00883E59"/>
    <w:rsid w:val="00887AFB"/>
    <w:rsid w:val="00890E50"/>
    <w:rsid w:val="00893A7A"/>
    <w:rsid w:val="00894942"/>
    <w:rsid w:val="00896D5D"/>
    <w:rsid w:val="00897D93"/>
    <w:rsid w:val="008A0493"/>
    <w:rsid w:val="008A1908"/>
    <w:rsid w:val="008A723E"/>
    <w:rsid w:val="008A72E0"/>
    <w:rsid w:val="008B0CE2"/>
    <w:rsid w:val="008B580D"/>
    <w:rsid w:val="008B73BA"/>
    <w:rsid w:val="008C59C0"/>
    <w:rsid w:val="008D016C"/>
    <w:rsid w:val="008D21F0"/>
    <w:rsid w:val="008D3561"/>
    <w:rsid w:val="008D4CA9"/>
    <w:rsid w:val="008D5962"/>
    <w:rsid w:val="008E3DE4"/>
    <w:rsid w:val="008E57F5"/>
    <w:rsid w:val="008F0438"/>
    <w:rsid w:val="008F1767"/>
    <w:rsid w:val="008F2235"/>
    <w:rsid w:val="008F62B1"/>
    <w:rsid w:val="008F7DF7"/>
    <w:rsid w:val="00903E9F"/>
    <w:rsid w:val="00906453"/>
    <w:rsid w:val="00906E11"/>
    <w:rsid w:val="0090738C"/>
    <w:rsid w:val="0091216A"/>
    <w:rsid w:val="00913993"/>
    <w:rsid w:val="009145F3"/>
    <w:rsid w:val="00914A0C"/>
    <w:rsid w:val="009153D2"/>
    <w:rsid w:val="00923D58"/>
    <w:rsid w:val="009248C5"/>
    <w:rsid w:val="00926CBD"/>
    <w:rsid w:val="00927F35"/>
    <w:rsid w:val="0093050C"/>
    <w:rsid w:val="00930BE5"/>
    <w:rsid w:val="009310F0"/>
    <w:rsid w:val="00933D38"/>
    <w:rsid w:val="009373EE"/>
    <w:rsid w:val="009404E8"/>
    <w:rsid w:val="0094200B"/>
    <w:rsid w:val="00942A1A"/>
    <w:rsid w:val="009436B0"/>
    <w:rsid w:val="0094596F"/>
    <w:rsid w:val="00946353"/>
    <w:rsid w:val="00947F6F"/>
    <w:rsid w:val="00954AD2"/>
    <w:rsid w:val="00956890"/>
    <w:rsid w:val="00957EFF"/>
    <w:rsid w:val="0096092E"/>
    <w:rsid w:val="00962FD4"/>
    <w:rsid w:val="0096752D"/>
    <w:rsid w:val="009679BA"/>
    <w:rsid w:val="00970DEE"/>
    <w:rsid w:val="0097157C"/>
    <w:rsid w:val="00974A79"/>
    <w:rsid w:val="009831D9"/>
    <w:rsid w:val="00997C72"/>
    <w:rsid w:val="00997D14"/>
    <w:rsid w:val="009A3782"/>
    <w:rsid w:val="009A677D"/>
    <w:rsid w:val="009C168F"/>
    <w:rsid w:val="009C21D7"/>
    <w:rsid w:val="009C2755"/>
    <w:rsid w:val="009C4483"/>
    <w:rsid w:val="009D1ED1"/>
    <w:rsid w:val="009D7063"/>
    <w:rsid w:val="009E18E0"/>
    <w:rsid w:val="009E4CC0"/>
    <w:rsid w:val="009E638D"/>
    <w:rsid w:val="009F3498"/>
    <w:rsid w:val="009F71A7"/>
    <w:rsid w:val="009F75FF"/>
    <w:rsid w:val="00A005B4"/>
    <w:rsid w:val="00A071CE"/>
    <w:rsid w:val="00A076D8"/>
    <w:rsid w:val="00A10308"/>
    <w:rsid w:val="00A151AB"/>
    <w:rsid w:val="00A257E0"/>
    <w:rsid w:val="00A25D39"/>
    <w:rsid w:val="00A31C3D"/>
    <w:rsid w:val="00A32E88"/>
    <w:rsid w:val="00A34314"/>
    <w:rsid w:val="00A35BBE"/>
    <w:rsid w:val="00A35E66"/>
    <w:rsid w:val="00A40381"/>
    <w:rsid w:val="00A40A89"/>
    <w:rsid w:val="00A41329"/>
    <w:rsid w:val="00A53B7F"/>
    <w:rsid w:val="00A54172"/>
    <w:rsid w:val="00A64BDD"/>
    <w:rsid w:val="00A676AF"/>
    <w:rsid w:val="00A70CD3"/>
    <w:rsid w:val="00A72AAD"/>
    <w:rsid w:val="00A73A0C"/>
    <w:rsid w:val="00A754BB"/>
    <w:rsid w:val="00A758D7"/>
    <w:rsid w:val="00A75F27"/>
    <w:rsid w:val="00A76640"/>
    <w:rsid w:val="00A81396"/>
    <w:rsid w:val="00A816CA"/>
    <w:rsid w:val="00A81D85"/>
    <w:rsid w:val="00A82A02"/>
    <w:rsid w:val="00A8311C"/>
    <w:rsid w:val="00A83916"/>
    <w:rsid w:val="00A937F4"/>
    <w:rsid w:val="00A93827"/>
    <w:rsid w:val="00AA0AB0"/>
    <w:rsid w:val="00AA2506"/>
    <w:rsid w:val="00AA76D1"/>
    <w:rsid w:val="00AA7EF1"/>
    <w:rsid w:val="00AB2DAD"/>
    <w:rsid w:val="00B03C2B"/>
    <w:rsid w:val="00B064DC"/>
    <w:rsid w:val="00B06C53"/>
    <w:rsid w:val="00B20CDE"/>
    <w:rsid w:val="00B21ACC"/>
    <w:rsid w:val="00B271E4"/>
    <w:rsid w:val="00B30EFE"/>
    <w:rsid w:val="00B34951"/>
    <w:rsid w:val="00B422AC"/>
    <w:rsid w:val="00B448EC"/>
    <w:rsid w:val="00B45EA8"/>
    <w:rsid w:val="00B46790"/>
    <w:rsid w:val="00B47B4C"/>
    <w:rsid w:val="00B5237B"/>
    <w:rsid w:val="00B529DC"/>
    <w:rsid w:val="00B6031D"/>
    <w:rsid w:val="00B60D36"/>
    <w:rsid w:val="00B65BC7"/>
    <w:rsid w:val="00B734F8"/>
    <w:rsid w:val="00B7553C"/>
    <w:rsid w:val="00B772E6"/>
    <w:rsid w:val="00B77585"/>
    <w:rsid w:val="00B80E09"/>
    <w:rsid w:val="00B82E03"/>
    <w:rsid w:val="00B87C06"/>
    <w:rsid w:val="00B92366"/>
    <w:rsid w:val="00B962F1"/>
    <w:rsid w:val="00BA15C3"/>
    <w:rsid w:val="00BA1CBA"/>
    <w:rsid w:val="00BA1E88"/>
    <w:rsid w:val="00BB2B7D"/>
    <w:rsid w:val="00BB3FA5"/>
    <w:rsid w:val="00BC17C7"/>
    <w:rsid w:val="00BC2A48"/>
    <w:rsid w:val="00BC38AA"/>
    <w:rsid w:val="00BC4681"/>
    <w:rsid w:val="00BC470B"/>
    <w:rsid w:val="00BD2888"/>
    <w:rsid w:val="00BD4237"/>
    <w:rsid w:val="00BE7718"/>
    <w:rsid w:val="00BF1ED5"/>
    <w:rsid w:val="00BF2CF1"/>
    <w:rsid w:val="00BF4D6B"/>
    <w:rsid w:val="00BF75F2"/>
    <w:rsid w:val="00BF761D"/>
    <w:rsid w:val="00C00F35"/>
    <w:rsid w:val="00C01D3C"/>
    <w:rsid w:val="00C058F4"/>
    <w:rsid w:val="00C0711E"/>
    <w:rsid w:val="00C10432"/>
    <w:rsid w:val="00C11E7E"/>
    <w:rsid w:val="00C124C3"/>
    <w:rsid w:val="00C133A7"/>
    <w:rsid w:val="00C20766"/>
    <w:rsid w:val="00C21EA1"/>
    <w:rsid w:val="00C24788"/>
    <w:rsid w:val="00C30F8B"/>
    <w:rsid w:val="00C323A9"/>
    <w:rsid w:val="00C32984"/>
    <w:rsid w:val="00C505F2"/>
    <w:rsid w:val="00C5453D"/>
    <w:rsid w:val="00C5464D"/>
    <w:rsid w:val="00C5469F"/>
    <w:rsid w:val="00C60E87"/>
    <w:rsid w:val="00C63CAD"/>
    <w:rsid w:val="00C64222"/>
    <w:rsid w:val="00C643FD"/>
    <w:rsid w:val="00C65702"/>
    <w:rsid w:val="00C65F55"/>
    <w:rsid w:val="00C70846"/>
    <w:rsid w:val="00C733D1"/>
    <w:rsid w:val="00C7478A"/>
    <w:rsid w:val="00C7625B"/>
    <w:rsid w:val="00C77C2C"/>
    <w:rsid w:val="00C82148"/>
    <w:rsid w:val="00C861EF"/>
    <w:rsid w:val="00C87FBE"/>
    <w:rsid w:val="00CA4556"/>
    <w:rsid w:val="00CA4A59"/>
    <w:rsid w:val="00CA597D"/>
    <w:rsid w:val="00CB3B18"/>
    <w:rsid w:val="00CB645C"/>
    <w:rsid w:val="00CB6CDA"/>
    <w:rsid w:val="00CC0FB0"/>
    <w:rsid w:val="00CC1F47"/>
    <w:rsid w:val="00CC25A0"/>
    <w:rsid w:val="00CC4013"/>
    <w:rsid w:val="00CD0CAE"/>
    <w:rsid w:val="00CD2504"/>
    <w:rsid w:val="00CE17D0"/>
    <w:rsid w:val="00CE3F18"/>
    <w:rsid w:val="00CF3046"/>
    <w:rsid w:val="00CF5836"/>
    <w:rsid w:val="00D01A5B"/>
    <w:rsid w:val="00D01CC1"/>
    <w:rsid w:val="00D03D5F"/>
    <w:rsid w:val="00D0601B"/>
    <w:rsid w:val="00D07894"/>
    <w:rsid w:val="00D10130"/>
    <w:rsid w:val="00D105A6"/>
    <w:rsid w:val="00D114BD"/>
    <w:rsid w:val="00D121D5"/>
    <w:rsid w:val="00D1371E"/>
    <w:rsid w:val="00D139F2"/>
    <w:rsid w:val="00D173D7"/>
    <w:rsid w:val="00D208B6"/>
    <w:rsid w:val="00D3004C"/>
    <w:rsid w:val="00D312D4"/>
    <w:rsid w:val="00D31CD6"/>
    <w:rsid w:val="00D31D31"/>
    <w:rsid w:val="00D33755"/>
    <w:rsid w:val="00D33926"/>
    <w:rsid w:val="00D33FAE"/>
    <w:rsid w:val="00D344C3"/>
    <w:rsid w:val="00D34FD8"/>
    <w:rsid w:val="00D3621B"/>
    <w:rsid w:val="00D43380"/>
    <w:rsid w:val="00D43CB5"/>
    <w:rsid w:val="00D44B74"/>
    <w:rsid w:val="00D46866"/>
    <w:rsid w:val="00D53217"/>
    <w:rsid w:val="00D6354D"/>
    <w:rsid w:val="00D65931"/>
    <w:rsid w:val="00D66E93"/>
    <w:rsid w:val="00D7101B"/>
    <w:rsid w:val="00D714F0"/>
    <w:rsid w:val="00D71A77"/>
    <w:rsid w:val="00D75C09"/>
    <w:rsid w:val="00D7733F"/>
    <w:rsid w:val="00D77583"/>
    <w:rsid w:val="00D81BE9"/>
    <w:rsid w:val="00D83128"/>
    <w:rsid w:val="00D90910"/>
    <w:rsid w:val="00D91F8E"/>
    <w:rsid w:val="00D92DCC"/>
    <w:rsid w:val="00D95CF7"/>
    <w:rsid w:val="00DA1470"/>
    <w:rsid w:val="00DA38AC"/>
    <w:rsid w:val="00DA5E59"/>
    <w:rsid w:val="00DB213E"/>
    <w:rsid w:val="00DB23EF"/>
    <w:rsid w:val="00DB6E0C"/>
    <w:rsid w:val="00DC10D6"/>
    <w:rsid w:val="00DC2C36"/>
    <w:rsid w:val="00DC30DA"/>
    <w:rsid w:val="00DC37BB"/>
    <w:rsid w:val="00DC52D1"/>
    <w:rsid w:val="00DD1FDE"/>
    <w:rsid w:val="00DE2F81"/>
    <w:rsid w:val="00DE3B88"/>
    <w:rsid w:val="00DE5603"/>
    <w:rsid w:val="00DE71F0"/>
    <w:rsid w:val="00DF1EE8"/>
    <w:rsid w:val="00DF2295"/>
    <w:rsid w:val="00DF4E80"/>
    <w:rsid w:val="00DF6E07"/>
    <w:rsid w:val="00E00C87"/>
    <w:rsid w:val="00E00F6F"/>
    <w:rsid w:val="00E034ED"/>
    <w:rsid w:val="00E04E79"/>
    <w:rsid w:val="00E1676F"/>
    <w:rsid w:val="00E1725A"/>
    <w:rsid w:val="00E1791B"/>
    <w:rsid w:val="00E234D5"/>
    <w:rsid w:val="00E25182"/>
    <w:rsid w:val="00E2672D"/>
    <w:rsid w:val="00E33922"/>
    <w:rsid w:val="00E347D4"/>
    <w:rsid w:val="00E3548F"/>
    <w:rsid w:val="00E4013A"/>
    <w:rsid w:val="00E42060"/>
    <w:rsid w:val="00E4272A"/>
    <w:rsid w:val="00E42CE3"/>
    <w:rsid w:val="00E45EF0"/>
    <w:rsid w:val="00E50C55"/>
    <w:rsid w:val="00E5196A"/>
    <w:rsid w:val="00E53CBB"/>
    <w:rsid w:val="00E55231"/>
    <w:rsid w:val="00E553AF"/>
    <w:rsid w:val="00E604C8"/>
    <w:rsid w:val="00E60B65"/>
    <w:rsid w:val="00E60D2C"/>
    <w:rsid w:val="00E64ADB"/>
    <w:rsid w:val="00E6599B"/>
    <w:rsid w:val="00E67B40"/>
    <w:rsid w:val="00E753BF"/>
    <w:rsid w:val="00E80205"/>
    <w:rsid w:val="00E80DF6"/>
    <w:rsid w:val="00E82DA2"/>
    <w:rsid w:val="00E8632E"/>
    <w:rsid w:val="00E87EC5"/>
    <w:rsid w:val="00E95732"/>
    <w:rsid w:val="00EA2A4D"/>
    <w:rsid w:val="00EA3434"/>
    <w:rsid w:val="00EA40D4"/>
    <w:rsid w:val="00EA4B3C"/>
    <w:rsid w:val="00EA55D3"/>
    <w:rsid w:val="00EA7005"/>
    <w:rsid w:val="00EA771F"/>
    <w:rsid w:val="00EB0EAA"/>
    <w:rsid w:val="00EB218C"/>
    <w:rsid w:val="00EB2C09"/>
    <w:rsid w:val="00EB341A"/>
    <w:rsid w:val="00EB4491"/>
    <w:rsid w:val="00EB44A3"/>
    <w:rsid w:val="00EB7F9D"/>
    <w:rsid w:val="00EC19A1"/>
    <w:rsid w:val="00EC4F0D"/>
    <w:rsid w:val="00EC50BB"/>
    <w:rsid w:val="00ED08B1"/>
    <w:rsid w:val="00ED2B4A"/>
    <w:rsid w:val="00ED30F4"/>
    <w:rsid w:val="00ED3D96"/>
    <w:rsid w:val="00ED6AEF"/>
    <w:rsid w:val="00ED7A29"/>
    <w:rsid w:val="00ED7B4C"/>
    <w:rsid w:val="00EF2C78"/>
    <w:rsid w:val="00F02061"/>
    <w:rsid w:val="00F030C3"/>
    <w:rsid w:val="00F04FBB"/>
    <w:rsid w:val="00F0585A"/>
    <w:rsid w:val="00F2063B"/>
    <w:rsid w:val="00F21E2F"/>
    <w:rsid w:val="00F22616"/>
    <w:rsid w:val="00F24ABA"/>
    <w:rsid w:val="00F24F70"/>
    <w:rsid w:val="00F252DE"/>
    <w:rsid w:val="00F26B84"/>
    <w:rsid w:val="00F314B9"/>
    <w:rsid w:val="00F35A91"/>
    <w:rsid w:val="00F372DF"/>
    <w:rsid w:val="00F41545"/>
    <w:rsid w:val="00F42B3D"/>
    <w:rsid w:val="00F450F9"/>
    <w:rsid w:val="00F453AD"/>
    <w:rsid w:val="00F472F5"/>
    <w:rsid w:val="00F51296"/>
    <w:rsid w:val="00F55DE1"/>
    <w:rsid w:val="00F6363E"/>
    <w:rsid w:val="00F675CF"/>
    <w:rsid w:val="00F67AFE"/>
    <w:rsid w:val="00F708F3"/>
    <w:rsid w:val="00F71DFF"/>
    <w:rsid w:val="00F76641"/>
    <w:rsid w:val="00F80424"/>
    <w:rsid w:val="00F81A50"/>
    <w:rsid w:val="00F827C2"/>
    <w:rsid w:val="00F8665C"/>
    <w:rsid w:val="00F87B1A"/>
    <w:rsid w:val="00F87DC2"/>
    <w:rsid w:val="00FB2258"/>
    <w:rsid w:val="00FB27B0"/>
    <w:rsid w:val="00FB2DC6"/>
    <w:rsid w:val="00FC23BD"/>
    <w:rsid w:val="00FC347D"/>
    <w:rsid w:val="00FC597E"/>
    <w:rsid w:val="00FC63FE"/>
    <w:rsid w:val="00FC6701"/>
    <w:rsid w:val="00FD1CA8"/>
    <w:rsid w:val="00FD2481"/>
    <w:rsid w:val="00FD315C"/>
    <w:rsid w:val="00FD4582"/>
    <w:rsid w:val="00FE0245"/>
    <w:rsid w:val="00FE0607"/>
    <w:rsid w:val="00FE0EEE"/>
    <w:rsid w:val="00FE11DC"/>
    <w:rsid w:val="00FE1BC6"/>
    <w:rsid w:val="00FE44B0"/>
    <w:rsid w:val="00FE5EF3"/>
    <w:rsid w:val="00FF49DE"/>
    <w:rsid w:val="00FF4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25D24E0-3335-450D-A224-91CA0A6B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72"/>
    <w:pPr>
      <w:spacing w:after="60"/>
      <w:jc w:val="both"/>
    </w:pPr>
    <w:rPr>
      <w:rFonts w:ascii="Book Antiqua" w:hAnsi="Book Antiqua"/>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rification">
    <w:name w:val="Clarification"/>
    <w:basedOn w:val="Normal"/>
    <w:next w:val="Normal"/>
    <w:rsid w:val="005C2A72"/>
    <w:pPr>
      <w:keepNext/>
      <w:numPr>
        <w:numId w:val="1"/>
      </w:numPr>
      <w:spacing w:before="240"/>
      <w:outlineLvl w:val="0"/>
    </w:pPr>
    <w:rPr>
      <w:b/>
      <w:lang w:val="en-US" w:eastAsia="el-GR"/>
    </w:rPr>
  </w:style>
  <w:style w:type="paragraph" w:customStyle="1" w:styleId="Question">
    <w:name w:val="Question"/>
    <w:basedOn w:val="Normal"/>
    <w:next w:val="Normal"/>
    <w:rsid w:val="005C2A72"/>
    <w:pPr>
      <w:keepNext/>
    </w:pPr>
    <w:rPr>
      <w:b/>
      <w:i/>
      <w:lang w:eastAsia="el-GR"/>
    </w:rPr>
  </w:style>
  <w:style w:type="paragraph" w:styleId="Header">
    <w:name w:val="header"/>
    <w:basedOn w:val="Normal"/>
    <w:rsid w:val="005C2A72"/>
    <w:pPr>
      <w:tabs>
        <w:tab w:val="center" w:pos="4320"/>
        <w:tab w:val="right" w:pos="8640"/>
      </w:tabs>
    </w:pPr>
  </w:style>
  <w:style w:type="paragraph" w:styleId="Footer">
    <w:name w:val="footer"/>
    <w:basedOn w:val="Normal"/>
    <w:rsid w:val="005C2A72"/>
    <w:pPr>
      <w:tabs>
        <w:tab w:val="center" w:pos="4320"/>
        <w:tab w:val="right" w:pos="8640"/>
      </w:tabs>
    </w:pPr>
  </w:style>
  <w:style w:type="table" w:styleId="TableGrid">
    <w:name w:val="Table Grid"/>
    <w:basedOn w:val="TableNormal"/>
    <w:rsid w:val="005C2A72"/>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2A72"/>
  </w:style>
  <w:style w:type="paragraph" w:customStyle="1" w:styleId="Cla">
    <w:name w:val="Cla"/>
    <w:basedOn w:val="Normal"/>
    <w:rsid w:val="007D2BCC"/>
  </w:style>
  <w:style w:type="paragraph" w:styleId="BalloonText">
    <w:name w:val="Balloon Text"/>
    <w:basedOn w:val="Normal"/>
    <w:semiHidden/>
    <w:rsid w:val="00A41329"/>
    <w:rPr>
      <w:rFonts w:ascii="Tahoma" w:hAnsi="Tahoma" w:cs="Tahoma"/>
      <w:sz w:val="16"/>
      <w:szCs w:val="16"/>
    </w:rPr>
  </w:style>
  <w:style w:type="numbering" w:customStyle="1" w:styleId="ListBulletNested">
    <w:name w:val="List Bullet (Nested)"/>
    <w:basedOn w:val="NoList"/>
    <w:rsid w:val="00D312D4"/>
    <w:pPr>
      <w:numPr>
        <w:numId w:val="2"/>
      </w:numPr>
    </w:pPr>
  </w:style>
  <w:style w:type="character" w:styleId="Hyperlink">
    <w:name w:val="Hyperlink"/>
    <w:rsid w:val="00D312D4"/>
    <w:rPr>
      <w:color w:val="0000FF"/>
      <w:u w:val="single"/>
    </w:rPr>
  </w:style>
  <w:style w:type="character" w:styleId="CommentReference">
    <w:name w:val="annotation reference"/>
    <w:uiPriority w:val="99"/>
    <w:semiHidden/>
    <w:rsid w:val="00376895"/>
    <w:rPr>
      <w:sz w:val="16"/>
      <w:szCs w:val="16"/>
    </w:rPr>
  </w:style>
  <w:style w:type="paragraph" w:styleId="CommentText">
    <w:name w:val="annotation text"/>
    <w:basedOn w:val="Normal"/>
    <w:link w:val="CommentTextChar"/>
    <w:uiPriority w:val="99"/>
    <w:semiHidden/>
    <w:rsid w:val="00376895"/>
  </w:style>
  <w:style w:type="paragraph" w:styleId="CommentSubject">
    <w:name w:val="annotation subject"/>
    <w:basedOn w:val="CommentText"/>
    <w:next w:val="CommentText"/>
    <w:semiHidden/>
    <w:rsid w:val="00376895"/>
    <w:rPr>
      <w:b/>
      <w:bCs/>
    </w:rPr>
  </w:style>
  <w:style w:type="paragraph" w:customStyle="1" w:styleId="TableContents">
    <w:name w:val="Table Contents"/>
    <w:basedOn w:val="Normal"/>
    <w:rsid w:val="001B590F"/>
    <w:pPr>
      <w:widowControl w:val="0"/>
      <w:suppressLineNumbers/>
      <w:suppressAutoHyphens/>
      <w:spacing w:after="0"/>
      <w:jc w:val="left"/>
    </w:pPr>
    <w:rPr>
      <w:rFonts w:ascii="Times New Roman" w:eastAsia="Arial Unicode MS" w:hAnsi="Times New Roman"/>
      <w:kern w:val="1"/>
      <w:sz w:val="24"/>
      <w:szCs w:val="24"/>
    </w:rPr>
  </w:style>
  <w:style w:type="numbering" w:customStyle="1" w:styleId="ListNumberNested">
    <w:name w:val="List Number (Nested)"/>
    <w:basedOn w:val="NoList"/>
    <w:rsid w:val="00EC50BB"/>
    <w:pPr>
      <w:numPr>
        <w:numId w:val="3"/>
      </w:numPr>
    </w:pPr>
  </w:style>
  <w:style w:type="character" w:styleId="Strong">
    <w:name w:val="Strong"/>
    <w:qFormat/>
    <w:rsid w:val="00EC50BB"/>
    <w:rPr>
      <w:b/>
      <w:bCs/>
    </w:rPr>
  </w:style>
  <w:style w:type="paragraph" w:styleId="DocumentMap">
    <w:name w:val="Document Map"/>
    <w:basedOn w:val="Normal"/>
    <w:semiHidden/>
    <w:rsid w:val="0086169B"/>
    <w:pPr>
      <w:shd w:val="clear" w:color="auto" w:fill="000080"/>
    </w:pPr>
    <w:rPr>
      <w:rFonts w:ascii="Tahoma" w:hAnsi="Tahoma" w:cs="Tahoma"/>
    </w:rPr>
  </w:style>
  <w:style w:type="paragraph" w:styleId="FootnoteText">
    <w:name w:val="footnote text"/>
    <w:basedOn w:val="Normal"/>
    <w:semiHidden/>
    <w:rsid w:val="00054DD1"/>
    <w:pPr>
      <w:spacing w:before="60"/>
    </w:pPr>
    <w:rPr>
      <w:rFonts w:ascii="Calibri" w:hAnsi="Calibri"/>
      <w:kern w:val="20"/>
    </w:rPr>
  </w:style>
  <w:style w:type="character" w:styleId="FootnoteReference">
    <w:name w:val="footnote reference"/>
    <w:semiHidden/>
    <w:rsid w:val="00054DD1"/>
    <w:rPr>
      <w:vertAlign w:val="superscript"/>
    </w:rPr>
  </w:style>
  <w:style w:type="paragraph" w:customStyle="1" w:styleId="Style1">
    <w:name w:val="Style1"/>
    <w:basedOn w:val="Normal"/>
    <w:rsid w:val="0044490D"/>
    <w:pPr>
      <w:numPr>
        <w:numId w:val="21"/>
      </w:numPr>
      <w:spacing w:after="240"/>
      <w:jc w:val="left"/>
    </w:pPr>
    <w:rPr>
      <w:rFonts w:ascii="Calibri" w:hAnsi="Calibri"/>
      <w:b/>
      <w:caps/>
      <w:sz w:val="22"/>
      <w:lang w:val="en-US"/>
    </w:rPr>
  </w:style>
  <w:style w:type="paragraph" w:customStyle="1" w:styleId="Style2">
    <w:name w:val="Style2"/>
    <w:basedOn w:val="Normal"/>
    <w:link w:val="Style2Char"/>
    <w:rsid w:val="0044490D"/>
    <w:pPr>
      <w:numPr>
        <w:ilvl w:val="1"/>
        <w:numId w:val="21"/>
      </w:numPr>
      <w:spacing w:before="120" w:after="120"/>
    </w:pPr>
    <w:rPr>
      <w:rFonts w:ascii="Calibri" w:hAnsi="Calibri" w:cs="Arial"/>
      <w:sz w:val="22"/>
    </w:rPr>
  </w:style>
  <w:style w:type="character" w:customStyle="1" w:styleId="Style2Char">
    <w:name w:val="Style2 Char"/>
    <w:basedOn w:val="DefaultParagraphFont"/>
    <w:link w:val="Style2"/>
    <w:locked/>
    <w:rsid w:val="0044490D"/>
    <w:rPr>
      <w:rFonts w:ascii="Calibri" w:hAnsi="Calibri" w:cs="Arial"/>
      <w:sz w:val="22"/>
      <w:lang w:val="en-GB" w:eastAsia="en-US" w:bidi="ar-SA"/>
    </w:rPr>
  </w:style>
  <w:style w:type="paragraph" w:styleId="ListParagraph">
    <w:name w:val="List Paragraph"/>
    <w:aliases w:val="lp1"/>
    <w:basedOn w:val="Normal"/>
    <w:link w:val="ListParagraphChar"/>
    <w:uiPriority w:val="34"/>
    <w:qFormat/>
    <w:rsid w:val="00064F61"/>
    <w:pPr>
      <w:ind w:left="720"/>
      <w:contextualSpacing/>
    </w:pPr>
  </w:style>
  <w:style w:type="character" w:customStyle="1" w:styleId="ListParagraphChar">
    <w:name w:val="List Paragraph Char"/>
    <w:aliases w:val="lp1 Char"/>
    <w:basedOn w:val="DefaultParagraphFont"/>
    <w:link w:val="ListParagraph"/>
    <w:uiPriority w:val="34"/>
    <w:locked/>
    <w:rsid w:val="00507E6E"/>
    <w:rPr>
      <w:rFonts w:ascii="Book Antiqua" w:hAnsi="Book Antiqua"/>
      <w:lang w:eastAsia="en-US"/>
    </w:rPr>
  </w:style>
  <w:style w:type="character" w:customStyle="1" w:styleId="CommentTextChar">
    <w:name w:val="Comment Text Char"/>
    <w:basedOn w:val="DefaultParagraphFont"/>
    <w:link w:val="CommentText"/>
    <w:uiPriority w:val="99"/>
    <w:semiHidden/>
    <w:rsid w:val="00E8632E"/>
    <w:rPr>
      <w:rFonts w:ascii="Book Antiqua" w:hAnsi="Book Antiqu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255393">
      <w:bodyDiv w:val="1"/>
      <w:marLeft w:val="0"/>
      <w:marRight w:val="0"/>
      <w:marTop w:val="0"/>
      <w:marBottom w:val="0"/>
      <w:divBdr>
        <w:top w:val="none" w:sz="0" w:space="0" w:color="auto"/>
        <w:left w:val="none" w:sz="0" w:space="0" w:color="auto"/>
        <w:bottom w:val="none" w:sz="0" w:space="0" w:color="auto"/>
        <w:right w:val="none" w:sz="0" w:space="0" w:color="auto"/>
      </w:divBdr>
    </w:div>
    <w:div w:id="1119373450">
      <w:bodyDiv w:val="1"/>
      <w:marLeft w:val="0"/>
      <w:marRight w:val="0"/>
      <w:marTop w:val="0"/>
      <w:marBottom w:val="0"/>
      <w:divBdr>
        <w:top w:val="none" w:sz="0" w:space="0" w:color="auto"/>
        <w:left w:val="none" w:sz="0" w:space="0" w:color="auto"/>
        <w:bottom w:val="none" w:sz="0" w:space="0" w:color="auto"/>
        <w:right w:val="none" w:sz="0" w:space="0" w:color="auto"/>
      </w:divBdr>
    </w:div>
    <w:div w:id="1171682093">
      <w:bodyDiv w:val="1"/>
      <w:marLeft w:val="0"/>
      <w:marRight w:val="0"/>
      <w:marTop w:val="0"/>
      <w:marBottom w:val="0"/>
      <w:divBdr>
        <w:top w:val="none" w:sz="0" w:space="0" w:color="auto"/>
        <w:left w:val="none" w:sz="0" w:space="0" w:color="auto"/>
        <w:bottom w:val="none" w:sz="0" w:space="0" w:color="auto"/>
        <w:right w:val="none" w:sz="0" w:space="0" w:color="auto"/>
      </w:divBdr>
    </w:div>
    <w:div w:id="195698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BA8BE-96BA-4513-B7CD-DB7C30941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7894</Words>
  <Characters>45001</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 Karadza</dc:creator>
  <cp:lastModifiedBy>Jeannine Blanchard</cp:lastModifiedBy>
  <cp:revision>3</cp:revision>
  <cp:lastPrinted>2016-04-18T17:52:00Z</cp:lastPrinted>
  <dcterms:created xsi:type="dcterms:W3CDTF">2016-04-21T19:12:00Z</dcterms:created>
  <dcterms:modified xsi:type="dcterms:W3CDTF">2016-04-21T19:38:00Z</dcterms:modified>
</cp:coreProperties>
</file>