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7F56" w14:textId="44566E91" w:rsidR="009E2C93" w:rsidRPr="00502B34" w:rsidRDefault="00D448BA" w:rsidP="009E2C93">
      <w:pPr>
        <w:rPr>
          <w:rFonts w:ascii="Arial" w:hAnsi="Arial" w:cs="Arial"/>
          <w:sz w:val="24"/>
          <w:szCs w:val="24"/>
        </w:rPr>
      </w:pPr>
      <w:r w:rsidRPr="00454F37">
        <w:rPr>
          <w:rFonts w:ascii="Arial" w:eastAsia="Arial" w:hAnsi="Arial" w:cs="Arial"/>
          <w:noProof/>
          <w:sz w:val="28"/>
          <w:szCs w:val="28"/>
        </w:rPr>
        <w:drawing>
          <wp:anchor distT="0" distB="0" distL="114300" distR="114300" simplePos="0" relativeHeight="251660288" behindDoc="0" locked="0" layoutInCell="1" allowOverlap="1" wp14:anchorId="2626C266" wp14:editId="48F446EF">
            <wp:simplePos x="0" y="0"/>
            <wp:positionH relativeFrom="column">
              <wp:posOffset>2293620</wp:posOffset>
            </wp:positionH>
            <wp:positionV relativeFrom="paragraph">
              <wp:posOffset>-266700</wp:posOffset>
            </wp:positionV>
            <wp:extent cx="1252220" cy="1443355"/>
            <wp:effectExtent l="0" t="0" r="5080" b="4445"/>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5222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F37">
        <w:rPr>
          <w:rFonts w:ascii="Arial" w:eastAsia="Arial" w:hAnsi="Arial" w:cs="Arial"/>
          <w:noProof/>
          <w:sz w:val="28"/>
          <w:szCs w:val="28"/>
        </w:rPr>
        <w:drawing>
          <wp:anchor distT="0" distB="0" distL="114300" distR="114300" simplePos="0" relativeHeight="251659264" behindDoc="0" locked="0" layoutInCell="1" allowOverlap="1" wp14:anchorId="6496781F" wp14:editId="4C99F261">
            <wp:simplePos x="0" y="0"/>
            <wp:positionH relativeFrom="column">
              <wp:posOffset>4351020</wp:posOffset>
            </wp:positionH>
            <wp:positionV relativeFrom="paragraph">
              <wp:posOffset>-152400</wp:posOffset>
            </wp:positionV>
            <wp:extent cx="1279525" cy="1279525"/>
            <wp:effectExtent l="0" t="0" r="0" b="317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2A147" w14:textId="446F2F4A" w:rsidR="003A7A6F" w:rsidRDefault="003A7A6F" w:rsidP="009E2C93">
      <w:pPr>
        <w:spacing w:line="276" w:lineRule="auto"/>
        <w:jc w:val="center"/>
        <w:rPr>
          <w:rFonts w:ascii="Century Gothic" w:hAnsi="Century Gothic"/>
          <w:b/>
          <w:sz w:val="28"/>
          <w:szCs w:val="28"/>
        </w:rPr>
      </w:pPr>
    </w:p>
    <w:p w14:paraId="4732056C" w14:textId="77777777" w:rsidR="003A7A6F" w:rsidRDefault="003A7A6F" w:rsidP="009E2C93">
      <w:pPr>
        <w:spacing w:line="276" w:lineRule="auto"/>
        <w:jc w:val="center"/>
        <w:rPr>
          <w:rFonts w:ascii="Century Gothic" w:hAnsi="Century Gothic"/>
          <w:b/>
          <w:sz w:val="28"/>
          <w:szCs w:val="28"/>
        </w:rPr>
      </w:pPr>
    </w:p>
    <w:p w14:paraId="6506D7F9" w14:textId="77777777" w:rsidR="003A7A6F" w:rsidRDefault="003A7A6F" w:rsidP="009E2C93">
      <w:pPr>
        <w:spacing w:line="276" w:lineRule="auto"/>
        <w:jc w:val="center"/>
        <w:rPr>
          <w:rFonts w:ascii="Century Gothic" w:hAnsi="Century Gothic"/>
          <w:b/>
          <w:sz w:val="28"/>
          <w:szCs w:val="28"/>
        </w:rPr>
      </w:pPr>
    </w:p>
    <w:p w14:paraId="52986032" w14:textId="77777777" w:rsidR="003A7A6F" w:rsidRDefault="003A7A6F" w:rsidP="009E2C93">
      <w:pPr>
        <w:spacing w:line="276" w:lineRule="auto"/>
        <w:jc w:val="center"/>
        <w:rPr>
          <w:rFonts w:ascii="Century Gothic" w:hAnsi="Century Gothic"/>
          <w:b/>
          <w:sz w:val="28"/>
          <w:szCs w:val="28"/>
        </w:rPr>
      </w:pPr>
    </w:p>
    <w:p w14:paraId="5CB236B2" w14:textId="77777777" w:rsidR="003A7A6F" w:rsidRDefault="003A7A6F" w:rsidP="009E2C93">
      <w:pPr>
        <w:spacing w:line="276" w:lineRule="auto"/>
        <w:jc w:val="center"/>
        <w:rPr>
          <w:rFonts w:ascii="Century Gothic" w:hAnsi="Century Gothic"/>
          <w:b/>
          <w:sz w:val="28"/>
          <w:szCs w:val="28"/>
        </w:rPr>
      </w:pPr>
    </w:p>
    <w:p w14:paraId="0E23D598" w14:textId="77777777" w:rsidR="009E2C93" w:rsidRDefault="009E2C93" w:rsidP="00D448BA">
      <w:pPr>
        <w:spacing w:line="276" w:lineRule="auto"/>
        <w:jc w:val="center"/>
        <w:outlineLvl w:val="0"/>
        <w:rPr>
          <w:rFonts w:ascii="Century Gothic" w:hAnsi="Century Gothic"/>
          <w:b/>
          <w:sz w:val="28"/>
          <w:szCs w:val="28"/>
        </w:rPr>
      </w:pPr>
      <w:r w:rsidRPr="0022704D">
        <w:rPr>
          <w:rFonts w:ascii="Century Gothic" w:hAnsi="Century Gothic"/>
          <w:b/>
          <w:sz w:val="28"/>
          <w:szCs w:val="28"/>
        </w:rPr>
        <w:t>ANTIGUA AND BARBUDA</w:t>
      </w:r>
    </w:p>
    <w:p w14:paraId="0FC5E969" w14:textId="77777777" w:rsidR="009E2C93" w:rsidRDefault="009E2C93" w:rsidP="00D448BA">
      <w:pPr>
        <w:spacing w:line="276" w:lineRule="auto"/>
        <w:jc w:val="center"/>
        <w:outlineLvl w:val="0"/>
        <w:rPr>
          <w:rFonts w:ascii="Century Gothic" w:hAnsi="Century Gothic"/>
          <w:b/>
          <w:sz w:val="28"/>
          <w:szCs w:val="28"/>
        </w:rPr>
      </w:pPr>
      <w:r>
        <w:rPr>
          <w:rFonts w:ascii="Century Gothic" w:hAnsi="Century Gothic"/>
          <w:b/>
          <w:sz w:val="28"/>
          <w:szCs w:val="28"/>
        </w:rPr>
        <w:t>Department of Environment</w:t>
      </w:r>
    </w:p>
    <w:p w14:paraId="038427A1" w14:textId="1D5ECC4B" w:rsidR="009E2C93" w:rsidRDefault="009E2C93" w:rsidP="00223A4E">
      <w:pPr>
        <w:spacing w:line="276" w:lineRule="auto"/>
        <w:rPr>
          <w:rFonts w:ascii="Century Gothic" w:hAnsi="Century Gothic"/>
          <w:b/>
          <w:sz w:val="28"/>
          <w:szCs w:val="28"/>
        </w:rPr>
      </w:pPr>
    </w:p>
    <w:p w14:paraId="7FF0EB2E" w14:textId="7669B358" w:rsidR="009E2C93" w:rsidRDefault="003D124E" w:rsidP="00D448BA">
      <w:pPr>
        <w:spacing w:line="276" w:lineRule="auto"/>
        <w:jc w:val="center"/>
        <w:outlineLvl w:val="0"/>
        <w:rPr>
          <w:rFonts w:ascii="Century Gothic" w:hAnsi="Century Gothic"/>
          <w:b/>
          <w:sz w:val="28"/>
          <w:szCs w:val="28"/>
        </w:rPr>
      </w:pPr>
      <w:r>
        <w:rPr>
          <w:rFonts w:ascii="Century Gothic" w:hAnsi="Century Gothic"/>
          <w:b/>
          <w:sz w:val="28"/>
          <w:szCs w:val="28"/>
        </w:rPr>
        <w:t>Terms of Reference</w:t>
      </w:r>
    </w:p>
    <w:p w14:paraId="587B3D8B" w14:textId="196DB761" w:rsidR="009E2C93" w:rsidRDefault="00A859A1" w:rsidP="00A859A1">
      <w:pPr>
        <w:spacing w:after="200" w:line="276" w:lineRule="auto"/>
        <w:ind w:left="720" w:firstLine="720"/>
        <w:rPr>
          <w:rFonts w:ascii="Century Gothic" w:hAnsi="Century Gothic"/>
          <w:b/>
        </w:rPr>
      </w:pPr>
      <w:r w:rsidRPr="00A859A1">
        <w:rPr>
          <w:rFonts w:ascii="Century Gothic" w:hAnsi="Century Gothic"/>
          <w:b/>
          <w:sz w:val="28"/>
          <w:szCs w:val="28"/>
        </w:rPr>
        <w:t xml:space="preserve">Carbon </w:t>
      </w:r>
      <w:r>
        <w:rPr>
          <w:rFonts w:ascii="Century Gothic" w:hAnsi="Century Gothic"/>
          <w:b/>
          <w:sz w:val="28"/>
          <w:szCs w:val="28"/>
        </w:rPr>
        <w:t>S</w:t>
      </w:r>
      <w:r w:rsidRPr="00A859A1">
        <w:rPr>
          <w:rFonts w:ascii="Century Gothic" w:hAnsi="Century Gothic"/>
          <w:b/>
          <w:sz w:val="28"/>
          <w:szCs w:val="28"/>
        </w:rPr>
        <w:t>equestration</w:t>
      </w:r>
      <w:r>
        <w:rPr>
          <w:rFonts w:ascii="Century Gothic" w:hAnsi="Century Gothic"/>
          <w:b/>
          <w:sz w:val="28"/>
          <w:szCs w:val="28"/>
        </w:rPr>
        <w:t xml:space="preserve"> </w:t>
      </w:r>
      <w:r w:rsidR="002C6280">
        <w:rPr>
          <w:rFonts w:ascii="Century Gothic" w:hAnsi="Century Gothic"/>
          <w:b/>
          <w:sz w:val="28"/>
          <w:szCs w:val="28"/>
        </w:rPr>
        <w:t xml:space="preserve">Data Collection </w:t>
      </w:r>
      <w:r>
        <w:rPr>
          <w:rFonts w:ascii="Century Gothic" w:hAnsi="Century Gothic"/>
          <w:b/>
          <w:sz w:val="28"/>
          <w:szCs w:val="28"/>
        </w:rPr>
        <w:t>Consultation</w:t>
      </w:r>
    </w:p>
    <w:tbl>
      <w:tblPr>
        <w:tblStyle w:val="TableGrid"/>
        <w:tblW w:w="0" w:type="auto"/>
        <w:tblLayout w:type="fixed"/>
        <w:tblLook w:val="04A0" w:firstRow="1" w:lastRow="0" w:firstColumn="1" w:lastColumn="0" w:noHBand="0" w:noVBand="1"/>
      </w:tblPr>
      <w:tblGrid>
        <w:gridCol w:w="1615"/>
        <w:gridCol w:w="7735"/>
      </w:tblGrid>
      <w:tr w:rsidR="009E2C93" w14:paraId="13B891B8" w14:textId="77777777" w:rsidTr="519A8BC1">
        <w:tc>
          <w:tcPr>
            <w:tcW w:w="1615" w:type="dxa"/>
          </w:tcPr>
          <w:p w14:paraId="0AF4E4D3" w14:textId="492CA8FE" w:rsidR="009E2C93" w:rsidRPr="003E3DDD" w:rsidRDefault="00D448BA" w:rsidP="00556D4B">
            <w:pPr>
              <w:spacing w:afterLines="60" w:after="144"/>
              <w:rPr>
                <w:rFonts w:ascii="Cambria" w:hAnsi="Cambria" w:cs="Arial"/>
                <w:b/>
              </w:rPr>
            </w:pPr>
            <w:r>
              <w:rPr>
                <w:rFonts w:ascii="Cambria" w:hAnsi="Cambria" w:cs="Arial"/>
                <w:b/>
              </w:rPr>
              <w:t xml:space="preserve">Job </w:t>
            </w:r>
            <w:r w:rsidR="009E2C93" w:rsidRPr="003E3DDD">
              <w:rPr>
                <w:rFonts w:ascii="Cambria" w:hAnsi="Cambria" w:cs="Arial"/>
                <w:b/>
              </w:rPr>
              <w:t>Title</w:t>
            </w:r>
          </w:p>
        </w:tc>
        <w:tc>
          <w:tcPr>
            <w:tcW w:w="7735" w:type="dxa"/>
          </w:tcPr>
          <w:p w14:paraId="6FFB38A2" w14:textId="072BA34D" w:rsidR="009E2C93" w:rsidRPr="00F6398A" w:rsidRDefault="00F6398A" w:rsidP="00F6398A">
            <w:pPr>
              <w:spacing w:line="276" w:lineRule="auto"/>
              <w:outlineLvl w:val="0"/>
              <w:rPr>
                <w:rFonts w:ascii="Cambria" w:hAnsi="Cambria"/>
              </w:rPr>
            </w:pPr>
            <w:r w:rsidRPr="00F6398A">
              <w:rPr>
                <w:rFonts w:ascii="Cambria" w:hAnsi="Cambria"/>
              </w:rPr>
              <w:t xml:space="preserve">Consultation for the collection of the Carbon Sequestration data </w:t>
            </w:r>
            <w:r w:rsidR="002C6280">
              <w:rPr>
                <w:rFonts w:ascii="Cambria" w:hAnsi="Cambria"/>
              </w:rPr>
              <w:t>within</w:t>
            </w:r>
            <w:r w:rsidRPr="00F6398A">
              <w:rPr>
                <w:rFonts w:ascii="Cambria" w:hAnsi="Cambria"/>
              </w:rPr>
              <w:t xml:space="preserve"> the </w:t>
            </w:r>
            <w:r w:rsidR="002C6280">
              <w:rPr>
                <w:rFonts w:ascii="Cambria" w:hAnsi="Cambria"/>
              </w:rPr>
              <w:t>Shekerley Mountain Management Area</w:t>
            </w:r>
            <w:r w:rsidRPr="00F6398A">
              <w:rPr>
                <w:rFonts w:ascii="Cambria" w:hAnsi="Cambria"/>
              </w:rPr>
              <w:t xml:space="preserve"> </w:t>
            </w:r>
          </w:p>
        </w:tc>
      </w:tr>
      <w:tr w:rsidR="00D448BA" w14:paraId="590D4288" w14:textId="77777777" w:rsidTr="519A8BC1">
        <w:tc>
          <w:tcPr>
            <w:tcW w:w="1615" w:type="dxa"/>
          </w:tcPr>
          <w:p w14:paraId="67C54BC4" w14:textId="7D5CCBCE" w:rsidR="00D448BA" w:rsidRDefault="00D448BA" w:rsidP="00D448BA">
            <w:pPr>
              <w:spacing w:afterLines="60" w:after="144"/>
              <w:rPr>
                <w:rFonts w:ascii="Cambria" w:hAnsi="Cambria" w:cs="Arial"/>
                <w:b/>
              </w:rPr>
            </w:pPr>
            <w:r>
              <w:rPr>
                <w:rFonts w:ascii="Cambria" w:hAnsi="Cambria" w:cs="Arial"/>
                <w:b/>
              </w:rPr>
              <w:t>Contracting Authority</w:t>
            </w:r>
          </w:p>
        </w:tc>
        <w:tc>
          <w:tcPr>
            <w:tcW w:w="7735" w:type="dxa"/>
          </w:tcPr>
          <w:p w14:paraId="16F89232" w14:textId="36F888AF" w:rsidR="00D448BA" w:rsidRPr="003E3DDD" w:rsidRDefault="00D448BA" w:rsidP="00D448BA">
            <w:pPr>
              <w:spacing w:afterLines="60" w:after="144"/>
              <w:rPr>
                <w:rFonts w:ascii="Cambria" w:hAnsi="Cambria" w:cs="Arial"/>
              </w:rPr>
            </w:pPr>
            <w:r>
              <w:rPr>
                <w:rFonts w:ascii="Cambria" w:hAnsi="Cambria" w:cs="Arial"/>
              </w:rPr>
              <w:t>Department of Environment, Ministry of Health and the Environment, Antigua and Barbuda</w:t>
            </w:r>
          </w:p>
        </w:tc>
      </w:tr>
      <w:tr w:rsidR="00D448BA" w14:paraId="58CBECAC" w14:textId="77777777" w:rsidTr="519A8BC1">
        <w:trPr>
          <w:trHeight w:val="521"/>
        </w:trPr>
        <w:tc>
          <w:tcPr>
            <w:tcW w:w="1615" w:type="dxa"/>
          </w:tcPr>
          <w:p w14:paraId="2ABB04DB" w14:textId="77777777" w:rsidR="00D448BA" w:rsidRPr="003E3DDD" w:rsidRDefault="00D448BA" w:rsidP="00556D4B">
            <w:pPr>
              <w:spacing w:afterLines="60" w:after="144"/>
              <w:rPr>
                <w:rFonts w:ascii="Cambria" w:hAnsi="Cambria" w:cs="Arial"/>
                <w:b/>
              </w:rPr>
            </w:pPr>
            <w:r>
              <w:rPr>
                <w:rFonts w:ascii="Cambria" w:hAnsi="Cambria" w:cs="Arial"/>
                <w:b/>
              </w:rPr>
              <w:t>Date of Issue</w:t>
            </w:r>
          </w:p>
        </w:tc>
        <w:tc>
          <w:tcPr>
            <w:tcW w:w="7735" w:type="dxa"/>
          </w:tcPr>
          <w:p w14:paraId="63B60432" w14:textId="6FFE24E2" w:rsidR="00D448BA" w:rsidRPr="007D74DB" w:rsidRDefault="00F6398A" w:rsidP="00556D4B">
            <w:pPr>
              <w:spacing w:afterLines="60" w:after="144"/>
              <w:rPr>
                <w:rFonts w:ascii="Cambria" w:hAnsi="Cambria" w:cs="Arial"/>
                <w:color w:val="000000" w:themeColor="text1"/>
              </w:rPr>
            </w:pPr>
            <w:r>
              <w:rPr>
                <w:rFonts w:ascii="Cambria" w:hAnsi="Cambria" w:cs="Arial"/>
                <w:color w:val="000000" w:themeColor="text1"/>
              </w:rPr>
              <w:t xml:space="preserve">August </w:t>
            </w:r>
            <w:r w:rsidR="00A87108">
              <w:rPr>
                <w:rFonts w:ascii="Cambria" w:hAnsi="Cambria" w:cs="Arial"/>
                <w:color w:val="000000" w:themeColor="text1"/>
              </w:rPr>
              <w:t>14</w:t>
            </w:r>
            <w:r w:rsidR="00A87108" w:rsidRPr="00F6398A">
              <w:rPr>
                <w:rFonts w:ascii="Cambria" w:hAnsi="Cambria" w:cs="Arial"/>
                <w:color w:val="000000" w:themeColor="text1"/>
                <w:vertAlign w:val="superscript"/>
              </w:rPr>
              <w:t>t</w:t>
            </w:r>
            <w:r w:rsidR="00A87108">
              <w:rPr>
                <w:rFonts w:ascii="Cambria" w:hAnsi="Cambria" w:cs="Arial"/>
                <w:color w:val="000000" w:themeColor="text1"/>
                <w:vertAlign w:val="superscript"/>
              </w:rPr>
              <w:t>h</w:t>
            </w:r>
            <w:r w:rsidR="00A87108">
              <w:rPr>
                <w:rFonts w:ascii="Cambria" w:hAnsi="Cambria" w:cs="Arial"/>
                <w:color w:val="000000" w:themeColor="text1"/>
              </w:rPr>
              <w:t xml:space="preserve"> </w:t>
            </w:r>
            <w:r>
              <w:rPr>
                <w:rFonts w:ascii="Cambria" w:hAnsi="Cambria" w:cs="Arial"/>
                <w:color w:val="000000" w:themeColor="text1"/>
              </w:rPr>
              <w:t>2018</w:t>
            </w:r>
          </w:p>
        </w:tc>
      </w:tr>
      <w:tr w:rsidR="00D448BA" w14:paraId="18549807" w14:textId="77777777" w:rsidTr="519A8BC1">
        <w:tc>
          <w:tcPr>
            <w:tcW w:w="1615" w:type="dxa"/>
          </w:tcPr>
          <w:p w14:paraId="22435BA7" w14:textId="77777777" w:rsidR="00D448BA" w:rsidRDefault="00D448BA" w:rsidP="00556D4B">
            <w:pPr>
              <w:spacing w:afterLines="60" w:after="144"/>
              <w:rPr>
                <w:rFonts w:ascii="Cambria" w:hAnsi="Cambria" w:cs="Arial"/>
                <w:b/>
              </w:rPr>
            </w:pPr>
            <w:r>
              <w:rPr>
                <w:rFonts w:ascii="Cambria" w:hAnsi="Cambria" w:cs="Arial"/>
                <w:b/>
              </w:rPr>
              <w:t>Deadline</w:t>
            </w:r>
          </w:p>
        </w:tc>
        <w:tc>
          <w:tcPr>
            <w:tcW w:w="7735" w:type="dxa"/>
          </w:tcPr>
          <w:p w14:paraId="0D1FCEFE" w14:textId="29BBF156" w:rsidR="00D448BA" w:rsidRPr="007D74DB" w:rsidRDefault="000E7546" w:rsidP="00556D4B">
            <w:pPr>
              <w:spacing w:afterLines="60" w:after="144"/>
              <w:rPr>
                <w:rFonts w:ascii="Cambria" w:hAnsi="Cambria" w:cs="Arial"/>
                <w:color w:val="000000" w:themeColor="text1"/>
              </w:rPr>
            </w:pPr>
            <w:r w:rsidRPr="000E7546">
              <w:rPr>
                <w:rFonts w:ascii="Cambria" w:hAnsi="Cambria" w:cs="Arial"/>
                <w:color w:val="FF0000"/>
              </w:rPr>
              <w:t xml:space="preserve">Extended to </w:t>
            </w:r>
            <w:r w:rsidR="00FA7746">
              <w:rPr>
                <w:rFonts w:ascii="Cambria" w:hAnsi="Cambria" w:cs="Arial"/>
                <w:color w:val="FF0000"/>
              </w:rPr>
              <w:t>November 2</w:t>
            </w:r>
            <w:r w:rsidR="00FA7746" w:rsidRPr="00FA7746">
              <w:rPr>
                <w:rFonts w:ascii="Cambria" w:hAnsi="Cambria" w:cs="Arial"/>
                <w:color w:val="FF0000"/>
                <w:vertAlign w:val="superscript"/>
              </w:rPr>
              <w:t>nd</w:t>
            </w:r>
            <w:r w:rsidRPr="000E7546">
              <w:rPr>
                <w:rFonts w:ascii="Cambria" w:hAnsi="Cambria" w:cs="Arial"/>
                <w:color w:val="FF0000"/>
              </w:rPr>
              <w:t xml:space="preserve"> 2018</w:t>
            </w:r>
          </w:p>
        </w:tc>
      </w:tr>
      <w:tr w:rsidR="00D448BA" w14:paraId="555707B0" w14:textId="77777777" w:rsidTr="519A8BC1">
        <w:tc>
          <w:tcPr>
            <w:tcW w:w="1615" w:type="dxa"/>
          </w:tcPr>
          <w:p w14:paraId="00590F67" w14:textId="77777777" w:rsidR="00D448BA" w:rsidRDefault="00D448BA" w:rsidP="00556D4B">
            <w:pPr>
              <w:spacing w:afterLines="60" w:after="144"/>
              <w:rPr>
                <w:rFonts w:ascii="Cambria" w:hAnsi="Cambria" w:cs="Arial"/>
                <w:b/>
              </w:rPr>
            </w:pPr>
            <w:r w:rsidRPr="00A87108">
              <w:rPr>
                <w:rFonts w:ascii="Cambria" w:hAnsi="Cambria" w:cs="Arial"/>
                <w:b/>
              </w:rPr>
              <w:t>Duration</w:t>
            </w:r>
            <w:r>
              <w:rPr>
                <w:rFonts w:ascii="Cambria" w:hAnsi="Cambria" w:cs="Arial"/>
                <w:b/>
              </w:rPr>
              <w:t xml:space="preserve"> </w:t>
            </w:r>
          </w:p>
        </w:tc>
        <w:tc>
          <w:tcPr>
            <w:tcW w:w="7735" w:type="dxa"/>
          </w:tcPr>
          <w:p w14:paraId="73B08123" w14:textId="5E2073F4" w:rsidR="00D448BA" w:rsidRPr="00BE53C1" w:rsidRDefault="519A8BC1" w:rsidP="519A8BC1">
            <w:pPr>
              <w:spacing w:afterLines="60" w:after="144"/>
              <w:rPr>
                <w:rFonts w:ascii="Cambria,Arial" w:eastAsia="Cambria,Arial" w:hAnsi="Cambria,Arial" w:cs="Cambria,Arial"/>
                <w:color w:val="000000" w:themeColor="text1"/>
              </w:rPr>
            </w:pPr>
            <w:r w:rsidRPr="519A8BC1">
              <w:rPr>
                <w:rFonts w:ascii="Cambria,Arial" w:eastAsia="Cambria,Arial" w:hAnsi="Cambria,Arial" w:cs="Cambria,Arial"/>
                <w:color w:val="000000" w:themeColor="text1"/>
              </w:rPr>
              <w:t xml:space="preserve"> 6 months</w:t>
            </w:r>
          </w:p>
        </w:tc>
      </w:tr>
      <w:tr w:rsidR="00D448BA" w14:paraId="1FA32F0B" w14:textId="77777777" w:rsidTr="519A8BC1">
        <w:tc>
          <w:tcPr>
            <w:tcW w:w="1615" w:type="dxa"/>
          </w:tcPr>
          <w:p w14:paraId="06CEC96D" w14:textId="77777777" w:rsidR="00D448BA" w:rsidRDefault="00D448BA" w:rsidP="00556D4B">
            <w:pPr>
              <w:spacing w:afterLines="60" w:after="144"/>
              <w:rPr>
                <w:rFonts w:ascii="Cambria" w:hAnsi="Cambria" w:cs="Arial"/>
                <w:b/>
              </w:rPr>
            </w:pPr>
            <w:r>
              <w:rPr>
                <w:rFonts w:ascii="Cambria" w:hAnsi="Cambria" w:cs="Arial"/>
                <w:b/>
              </w:rPr>
              <w:t>To Apply</w:t>
            </w:r>
          </w:p>
        </w:tc>
        <w:tc>
          <w:tcPr>
            <w:tcW w:w="7735" w:type="dxa"/>
          </w:tcPr>
          <w:p w14:paraId="46120FF2" w14:textId="08D46824" w:rsidR="00D448BA" w:rsidRPr="00F747D1" w:rsidRDefault="00F6398A" w:rsidP="00556D4B">
            <w:pPr>
              <w:spacing w:afterLines="60" w:after="144"/>
              <w:rPr>
                <w:rFonts w:ascii="Cambria" w:hAnsi="Cambria" w:cs="Arial"/>
              </w:rPr>
            </w:pPr>
            <w:r w:rsidRPr="00F747D1">
              <w:rPr>
                <w:rFonts w:ascii="Cambria" w:hAnsi="Cambria" w:cs="Arial"/>
                <w:b/>
              </w:rPr>
              <w:t>MSc. Students / Consultants</w:t>
            </w:r>
            <w:r w:rsidRPr="00F747D1">
              <w:rPr>
                <w:rFonts w:ascii="Cambria" w:hAnsi="Cambria" w:cs="Arial"/>
              </w:rPr>
              <w:t xml:space="preserve"> </w:t>
            </w:r>
            <w:r w:rsidR="00D448BA" w:rsidRPr="00F747D1">
              <w:rPr>
                <w:rFonts w:ascii="Cambria" w:hAnsi="Cambria" w:cs="Arial"/>
              </w:rPr>
              <w:t xml:space="preserve">are invited to apply for this opportunity. Please email the Procurement Officer at </w:t>
            </w:r>
            <w:hyperlink r:id="rId10" w:history="1">
              <w:r w:rsidR="001259E5" w:rsidRPr="00F747D1">
                <w:rPr>
                  <w:rStyle w:val="Hyperlink"/>
                  <w:rFonts w:ascii="Cambria" w:hAnsi="Cambria" w:cs="Arial"/>
                </w:rPr>
                <w:t>DOE@ab.gov.ag</w:t>
              </w:r>
            </w:hyperlink>
            <w:r w:rsidR="001259E5" w:rsidRPr="00F747D1">
              <w:rPr>
                <w:rFonts w:ascii="Cambria" w:hAnsi="Cambria" w:cs="Arial"/>
              </w:rPr>
              <w:t xml:space="preserve"> and copied to </w:t>
            </w:r>
            <w:hyperlink r:id="rId11" w:history="1">
              <w:r w:rsidR="00743FB8" w:rsidRPr="00F747D1">
                <w:rPr>
                  <w:rStyle w:val="Hyperlink"/>
                  <w:rFonts w:ascii="Cambria" w:hAnsi="Cambria"/>
                </w:rPr>
                <w:t>antiguaenvironmentdivision@gmail.com</w:t>
              </w:r>
            </w:hyperlink>
            <w:r w:rsidR="00743FB8" w:rsidRPr="00F747D1">
              <w:rPr>
                <w:rFonts w:ascii="Cambria" w:hAnsi="Cambria"/>
              </w:rPr>
              <w:t xml:space="preserve"> </w:t>
            </w:r>
            <w:r w:rsidR="00D448BA" w:rsidRPr="00F747D1">
              <w:rPr>
                <w:rFonts w:ascii="Cambria" w:hAnsi="Cambria" w:cs="Arial"/>
              </w:rPr>
              <w:t>the following:</w:t>
            </w:r>
          </w:p>
          <w:p w14:paraId="1DD178B1" w14:textId="66D43C31" w:rsidR="00D448BA" w:rsidRPr="00F747D1" w:rsidRDefault="00A859A1" w:rsidP="00556D4B">
            <w:pPr>
              <w:widowControl/>
              <w:spacing w:afterLines="60" w:after="144"/>
              <w:rPr>
                <w:rFonts w:ascii="Cambria" w:hAnsi="Cambria" w:cs="Arial"/>
              </w:rPr>
            </w:pPr>
            <w:r w:rsidRPr="00F747D1">
              <w:rPr>
                <w:rFonts w:ascii="Cambria" w:hAnsi="Cambria" w:cs="Arial"/>
              </w:rPr>
              <w:t xml:space="preserve">Carbon </w:t>
            </w:r>
            <w:r w:rsidRPr="00F747D1">
              <w:rPr>
                <w:rFonts w:ascii="Cambria" w:hAnsi="Cambria"/>
              </w:rPr>
              <w:t xml:space="preserve">sequestration  </w:t>
            </w:r>
            <w:r w:rsidR="003D28AA" w:rsidRPr="00F747D1">
              <w:rPr>
                <w:rFonts w:ascii="Cambria" w:hAnsi="Cambria" w:cs="Arial"/>
              </w:rPr>
              <w:t>Services</w:t>
            </w:r>
            <w:r w:rsidR="00D448BA" w:rsidRPr="00F747D1">
              <w:rPr>
                <w:rFonts w:ascii="Cambria" w:hAnsi="Cambria" w:cs="Arial"/>
              </w:rPr>
              <w:t xml:space="preserve"> </w:t>
            </w:r>
          </w:p>
          <w:p w14:paraId="638D7E57" w14:textId="4FE1E0B1" w:rsidR="00D448BA" w:rsidRPr="00F747D1" w:rsidRDefault="00D448BA" w:rsidP="00556D4B">
            <w:pPr>
              <w:pStyle w:val="ListParagraph"/>
              <w:widowControl/>
              <w:numPr>
                <w:ilvl w:val="0"/>
                <w:numId w:val="11"/>
              </w:numPr>
              <w:spacing w:afterLines="60" w:after="144"/>
              <w:rPr>
                <w:rFonts w:ascii="Cambria" w:hAnsi="Cambria" w:cs="Arial"/>
              </w:rPr>
            </w:pPr>
            <w:r w:rsidRPr="00F747D1">
              <w:rPr>
                <w:rFonts w:ascii="Cambria" w:hAnsi="Cambria" w:cs="Arial"/>
              </w:rPr>
              <w:t>Cover letter</w:t>
            </w:r>
          </w:p>
          <w:p w14:paraId="6CF751D2" w14:textId="77777777" w:rsidR="00743FB8" w:rsidRPr="00F747D1" w:rsidRDefault="00743FB8" w:rsidP="00556D4B">
            <w:pPr>
              <w:pStyle w:val="ListParagraph"/>
              <w:widowControl/>
              <w:numPr>
                <w:ilvl w:val="0"/>
                <w:numId w:val="11"/>
              </w:numPr>
              <w:spacing w:afterLines="60" w:after="144"/>
              <w:rPr>
                <w:rFonts w:ascii="Cambria" w:hAnsi="Cambria" w:cs="Arial"/>
              </w:rPr>
            </w:pPr>
            <w:r w:rsidRPr="00F747D1">
              <w:rPr>
                <w:rFonts w:ascii="Cambria" w:hAnsi="Cambria" w:cs="Arial"/>
              </w:rPr>
              <w:t xml:space="preserve">Technical Proposal </w:t>
            </w:r>
          </w:p>
          <w:p w14:paraId="2775D905" w14:textId="4539F23E" w:rsidR="00D448BA" w:rsidRPr="00F747D1" w:rsidRDefault="00743FB8" w:rsidP="00556D4B">
            <w:pPr>
              <w:pStyle w:val="ListParagraph"/>
              <w:widowControl/>
              <w:numPr>
                <w:ilvl w:val="0"/>
                <w:numId w:val="11"/>
              </w:numPr>
              <w:spacing w:afterLines="60" w:after="144"/>
              <w:rPr>
                <w:rFonts w:ascii="Cambria" w:hAnsi="Cambria" w:cs="Arial"/>
              </w:rPr>
            </w:pPr>
            <w:r w:rsidRPr="00F747D1">
              <w:rPr>
                <w:rFonts w:ascii="Cambria" w:hAnsi="Cambria" w:cs="Arial"/>
              </w:rPr>
              <w:t xml:space="preserve">Financial Proposal </w:t>
            </w:r>
          </w:p>
          <w:p w14:paraId="43B889DB" w14:textId="1AEF7D1A" w:rsidR="00D448BA" w:rsidRPr="00F747D1" w:rsidRDefault="00D448BA" w:rsidP="00556D4B">
            <w:pPr>
              <w:pStyle w:val="ListParagraph"/>
              <w:widowControl/>
              <w:numPr>
                <w:ilvl w:val="0"/>
                <w:numId w:val="11"/>
              </w:numPr>
              <w:spacing w:afterLines="60" w:after="144"/>
              <w:rPr>
                <w:rFonts w:ascii="Cambria" w:hAnsi="Cambria" w:cs="Arial"/>
              </w:rPr>
            </w:pPr>
            <w:r w:rsidRPr="00F747D1">
              <w:rPr>
                <w:rFonts w:ascii="Cambria" w:hAnsi="Cambria" w:cs="Arial"/>
              </w:rPr>
              <w:t>Contact information for three (3) references</w:t>
            </w:r>
          </w:p>
          <w:p w14:paraId="5272F80F" w14:textId="62811986" w:rsidR="00D448BA" w:rsidRPr="002803CD" w:rsidRDefault="00D448BA" w:rsidP="00556D4B">
            <w:pPr>
              <w:widowControl/>
              <w:spacing w:afterLines="60" w:after="144"/>
              <w:rPr>
                <w:rFonts w:ascii="Cambria" w:hAnsi="Cambria" w:cs="Arial"/>
                <w:i/>
              </w:rPr>
            </w:pPr>
            <w:r w:rsidRPr="00F747D1">
              <w:rPr>
                <w:rFonts w:ascii="Cambria" w:hAnsi="Cambria" w:cs="Arial"/>
              </w:rPr>
              <w:t>Please use email subject line: “…</w:t>
            </w:r>
            <w:r w:rsidR="00664EF5" w:rsidRPr="00F747D1">
              <w:rPr>
                <w:rFonts w:ascii="Cambria" w:hAnsi="Cambria"/>
              </w:rPr>
              <w:t xml:space="preserve">Consultation for the collection of the Carbon Sequestration data </w:t>
            </w:r>
            <w:r w:rsidR="002E0EA6">
              <w:rPr>
                <w:rFonts w:ascii="Cambria" w:hAnsi="Cambria"/>
              </w:rPr>
              <w:t>Antigua and Barbuda</w:t>
            </w:r>
            <w:r w:rsidR="00664EF5" w:rsidRPr="00F747D1">
              <w:rPr>
                <w:rFonts w:ascii="Cambria" w:hAnsi="Cambria"/>
                <w:b/>
                <w:sz w:val="28"/>
                <w:szCs w:val="28"/>
              </w:rPr>
              <w:t xml:space="preserve"> </w:t>
            </w:r>
            <w:r w:rsidRPr="00F747D1">
              <w:rPr>
                <w:rFonts w:ascii="Cambria" w:hAnsi="Cambria" w:cs="Arial"/>
              </w:rPr>
              <w:t>…”</w:t>
            </w:r>
          </w:p>
        </w:tc>
      </w:tr>
      <w:tr w:rsidR="00D448BA" w14:paraId="47D06881" w14:textId="77777777" w:rsidTr="519A8BC1">
        <w:tc>
          <w:tcPr>
            <w:tcW w:w="1615" w:type="dxa"/>
          </w:tcPr>
          <w:p w14:paraId="6AE27153" w14:textId="77777777" w:rsidR="00D448BA" w:rsidRDefault="00D448BA" w:rsidP="00556D4B">
            <w:pPr>
              <w:widowControl/>
              <w:spacing w:afterLines="60" w:after="144"/>
              <w:rPr>
                <w:rFonts w:ascii="Times New Roman" w:eastAsia="Times New Roman" w:hAnsi="Times New Roman" w:cs="Times New Roman"/>
                <w:color w:val="auto"/>
                <w:sz w:val="24"/>
                <w:szCs w:val="24"/>
              </w:rPr>
            </w:pPr>
            <w:r>
              <w:rPr>
                <w:b/>
                <w:bCs/>
                <w:color w:val="212121"/>
                <w:shd w:val="clear" w:color="auto" w:fill="FFFFFF"/>
              </w:rPr>
              <w:t>EQUAL EMPLOYMENT OPPORTUNITY (EEO)</w:t>
            </w:r>
          </w:p>
          <w:p w14:paraId="313FC484" w14:textId="77777777" w:rsidR="00D448BA" w:rsidRDefault="00D448BA" w:rsidP="00556D4B">
            <w:pPr>
              <w:spacing w:afterLines="60" w:after="144"/>
              <w:rPr>
                <w:rFonts w:ascii="Cambria" w:hAnsi="Cambria" w:cs="Arial"/>
                <w:b/>
              </w:rPr>
            </w:pPr>
          </w:p>
        </w:tc>
        <w:tc>
          <w:tcPr>
            <w:tcW w:w="7735" w:type="dxa"/>
          </w:tcPr>
          <w:p w14:paraId="7662CFF2" w14:textId="0DFDE458" w:rsidR="00D448BA" w:rsidRPr="002803CD" w:rsidRDefault="00D448BA" w:rsidP="00556D4B">
            <w:pPr>
              <w:widowControl/>
              <w:spacing w:afterLines="60" w:after="144"/>
              <w:rPr>
                <w:rFonts w:ascii="Cambria" w:hAnsi="Cambria" w:cs="Arial"/>
              </w:rPr>
            </w:pPr>
            <w:r w:rsidRPr="002803CD">
              <w:rPr>
                <w:rFonts w:ascii="Cambria" w:hAnsi="Cambria"/>
                <w:bCs/>
                <w:color w:val="212121"/>
                <w:shd w:val="clear" w:color="auto" w:fill="FFFFFF"/>
              </w:rPr>
              <w:t>The Department of Environment (DoE) provides equal opportunity and fair and equitable treatment in employment to all people without regard to race, color, religion, sex, national origin, age, disability, political affiliation, marital status, or sexual ori</w:t>
            </w:r>
            <w:r>
              <w:rPr>
                <w:rFonts w:ascii="Cambria" w:hAnsi="Cambria"/>
                <w:bCs/>
                <w:color w:val="212121"/>
                <w:shd w:val="clear" w:color="auto" w:fill="FFFFFF"/>
              </w:rPr>
              <w:t xml:space="preserve">entation. </w:t>
            </w:r>
            <w:r w:rsidRPr="002803CD">
              <w:rPr>
                <w:rFonts w:ascii="Cambria" w:hAnsi="Cambria"/>
                <w:bCs/>
                <w:color w:val="212121"/>
                <w:shd w:val="clear" w:color="auto" w:fill="FFFFFF"/>
              </w:rPr>
              <w:t>The DoE also strives to achieve equal employment opportunity in all personnel operations through continuing diversity enhancement programs. </w:t>
            </w:r>
          </w:p>
        </w:tc>
      </w:tr>
      <w:tr w:rsidR="00DC5E82" w14:paraId="36E97D89" w14:textId="77777777" w:rsidTr="519A8BC1">
        <w:tc>
          <w:tcPr>
            <w:tcW w:w="1615" w:type="dxa"/>
          </w:tcPr>
          <w:p w14:paraId="70ED3187" w14:textId="61758F95" w:rsidR="00DC5E82" w:rsidRDefault="00DC5E82" w:rsidP="00DC5E82">
            <w:pPr>
              <w:widowControl/>
              <w:spacing w:afterLines="60" w:after="144"/>
              <w:rPr>
                <w:b/>
                <w:bCs/>
                <w:color w:val="212121"/>
                <w:shd w:val="clear" w:color="auto" w:fill="FFFFFF"/>
              </w:rPr>
            </w:pPr>
            <w:r>
              <w:rPr>
                <w:b/>
                <w:bCs/>
                <w:color w:val="212121"/>
                <w:shd w:val="clear" w:color="auto" w:fill="FFFFFF"/>
              </w:rPr>
              <w:t>LATE BIDS</w:t>
            </w:r>
          </w:p>
        </w:tc>
        <w:tc>
          <w:tcPr>
            <w:tcW w:w="7735" w:type="dxa"/>
          </w:tcPr>
          <w:p w14:paraId="5691EACC" w14:textId="275F5570" w:rsidR="00DC5E82" w:rsidRPr="002803CD" w:rsidRDefault="00DC5E82" w:rsidP="00DC5E82">
            <w:pPr>
              <w:widowControl/>
              <w:spacing w:afterLines="60" w:after="144"/>
              <w:rPr>
                <w:rFonts w:ascii="Cambria" w:hAnsi="Cambria"/>
                <w:bCs/>
                <w:color w:val="212121"/>
                <w:shd w:val="clear" w:color="auto" w:fill="FFFFFF"/>
              </w:rPr>
            </w:pPr>
            <w:r>
              <w:rPr>
                <w:rFonts w:ascii="Cambria" w:hAnsi="Cambria"/>
                <w:bCs/>
                <w:color w:val="212121"/>
                <w:shd w:val="clear" w:color="auto" w:fill="FFFFFF"/>
              </w:rPr>
              <w:t xml:space="preserve">Late </w:t>
            </w:r>
            <w:r w:rsidR="002E0EA6">
              <w:rPr>
                <w:rFonts w:ascii="Cambria" w:hAnsi="Cambria"/>
                <w:bCs/>
                <w:color w:val="212121"/>
                <w:shd w:val="clear" w:color="auto" w:fill="FFFFFF"/>
              </w:rPr>
              <w:t xml:space="preserve">proposals </w:t>
            </w:r>
            <w:r>
              <w:rPr>
                <w:rFonts w:ascii="Cambria" w:hAnsi="Cambria"/>
                <w:bCs/>
                <w:color w:val="212121"/>
                <w:shd w:val="clear" w:color="auto" w:fill="FFFFFF"/>
              </w:rPr>
              <w:t xml:space="preserve">will not be opened </w:t>
            </w:r>
            <w:r w:rsidR="00743FB8">
              <w:rPr>
                <w:rFonts w:ascii="Cambria" w:hAnsi="Cambria"/>
                <w:bCs/>
                <w:color w:val="212121"/>
                <w:shd w:val="clear" w:color="auto" w:fill="FFFFFF"/>
              </w:rPr>
              <w:t xml:space="preserve">and will be returned to </w:t>
            </w:r>
            <w:r w:rsidR="002E0EA6">
              <w:rPr>
                <w:rFonts w:ascii="Cambria" w:hAnsi="Cambria"/>
                <w:bCs/>
                <w:color w:val="212121"/>
                <w:shd w:val="clear" w:color="auto" w:fill="FFFFFF"/>
              </w:rPr>
              <w:t>sender</w:t>
            </w:r>
            <w:r w:rsidR="00743FB8">
              <w:rPr>
                <w:rFonts w:ascii="Cambria" w:hAnsi="Cambria"/>
                <w:bCs/>
                <w:color w:val="212121"/>
                <w:shd w:val="clear" w:color="auto" w:fill="FFFFFF"/>
              </w:rPr>
              <w:t>.</w:t>
            </w:r>
          </w:p>
        </w:tc>
      </w:tr>
    </w:tbl>
    <w:p w14:paraId="249B41BE" w14:textId="77777777" w:rsidR="007221CC" w:rsidRDefault="007221CC">
      <w:pPr>
        <w:widowControl/>
        <w:rPr>
          <w:rFonts w:ascii="Cambria" w:hAnsi="Cambria" w:cs="Arial"/>
        </w:rPr>
      </w:pPr>
      <w:r>
        <w:rPr>
          <w:rFonts w:ascii="Cambria" w:hAnsi="Cambria" w:cs="Arial"/>
        </w:rPr>
        <w:br w:type="page"/>
      </w:r>
    </w:p>
    <w:p w14:paraId="0C9FCAF3" w14:textId="589343C2" w:rsidR="000976B9" w:rsidRDefault="000976B9" w:rsidP="00D448BA">
      <w:pPr>
        <w:spacing w:line="276" w:lineRule="auto"/>
        <w:jc w:val="center"/>
        <w:outlineLvl w:val="0"/>
        <w:rPr>
          <w:rFonts w:ascii="Century Gothic" w:hAnsi="Century Gothic"/>
          <w:b/>
          <w:sz w:val="28"/>
          <w:szCs w:val="28"/>
        </w:rPr>
      </w:pPr>
      <w:r>
        <w:rPr>
          <w:rFonts w:ascii="Century Gothic" w:hAnsi="Century Gothic"/>
          <w:b/>
          <w:sz w:val="28"/>
          <w:szCs w:val="28"/>
        </w:rPr>
        <w:lastRenderedPageBreak/>
        <w:t>Terms of Reference</w:t>
      </w:r>
    </w:p>
    <w:p w14:paraId="3FAEA5AA" w14:textId="65CE9A4A" w:rsidR="008F1F20" w:rsidRDefault="008F1F20" w:rsidP="00D448BA">
      <w:pPr>
        <w:spacing w:line="276" w:lineRule="auto"/>
        <w:jc w:val="center"/>
        <w:outlineLvl w:val="0"/>
        <w:rPr>
          <w:rFonts w:ascii="Century Gothic" w:hAnsi="Century Gothic"/>
          <w:b/>
          <w:sz w:val="28"/>
          <w:szCs w:val="28"/>
        </w:rPr>
      </w:pPr>
      <w:r>
        <w:rPr>
          <w:rFonts w:ascii="Century Gothic" w:hAnsi="Century Gothic"/>
          <w:b/>
          <w:sz w:val="28"/>
          <w:szCs w:val="28"/>
        </w:rPr>
        <w:t xml:space="preserve">Consultation for the collection of the Carbon Sequestration data </w:t>
      </w:r>
      <w:r w:rsidR="002C6280">
        <w:rPr>
          <w:rFonts w:ascii="Century Gothic" w:hAnsi="Century Gothic"/>
          <w:b/>
          <w:sz w:val="28"/>
          <w:szCs w:val="28"/>
        </w:rPr>
        <w:t>within</w:t>
      </w:r>
      <w:r>
        <w:rPr>
          <w:rFonts w:ascii="Century Gothic" w:hAnsi="Century Gothic"/>
          <w:b/>
          <w:sz w:val="28"/>
          <w:szCs w:val="28"/>
        </w:rPr>
        <w:t xml:space="preserve"> the </w:t>
      </w:r>
      <w:r w:rsidR="002C6280">
        <w:rPr>
          <w:rFonts w:ascii="Century Gothic" w:hAnsi="Century Gothic"/>
          <w:b/>
          <w:sz w:val="28"/>
          <w:szCs w:val="28"/>
        </w:rPr>
        <w:t>Shekerley Mountain Managed Area (SMMA)</w:t>
      </w:r>
    </w:p>
    <w:p w14:paraId="2A1636E3" w14:textId="77777777" w:rsidR="008F1F20" w:rsidRDefault="008F1F20" w:rsidP="00D448BA">
      <w:pPr>
        <w:spacing w:line="276" w:lineRule="auto"/>
        <w:jc w:val="center"/>
        <w:outlineLvl w:val="0"/>
        <w:rPr>
          <w:rFonts w:ascii="Century Gothic" w:hAnsi="Century Gothic"/>
          <w:b/>
          <w:sz w:val="28"/>
          <w:szCs w:val="28"/>
        </w:rPr>
      </w:pPr>
    </w:p>
    <w:p w14:paraId="228375B5" w14:textId="66FE7177" w:rsidR="00D448BA" w:rsidRDefault="00D448BA" w:rsidP="00556D4B">
      <w:pPr>
        <w:pStyle w:val="ListParagraph"/>
        <w:numPr>
          <w:ilvl w:val="0"/>
          <w:numId w:val="13"/>
        </w:numPr>
      </w:pPr>
      <w:r>
        <w:rPr>
          <w:rFonts w:ascii="Century Gothic" w:hAnsi="Century Gothic"/>
          <w:b/>
          <w:sz w:val="28"/>
          <w:szCs w:val="28"/>
        </w:rPr>
        <w:t xml:space="preserve">About the </w:t>
      </w:r>
      <w:r w:rsidR="007974E2">
        <w:rPr>
          <w:rFonts w:ascii="Century Gothic" w:hAnsi="Century Gothic"/>
          <w:b/>
          <w:sz w:val="28"/>
          <w:szCs w:val="28"/>
        </w:rPr>
        <w:t>Department of Environment</w:t>
      </w:r>
    </w:p>
    <w:p w14:paraId="2B8F9A3C" w14:textId="77777777" w:rsidR="008032E5" w:rsidRDefault="008032E5" w:rsidP="00556D4B">
      <w:pPr>
        <w:spacing w:after="120"/>
        <w:jc w:val="both"/>
      </w:pPr>
    </w:p>
    <w:p w14:paraId="3F3199AB" w14:textId="241743C5" w:rsidR="008032E5" w:rsidRDefault="008032E5" w:rsidP="00556D4B">
      <w:pPr>
        <w:spacing w:after="120"/>
        <w:jc w:val="both"/>
      </w:pPr>
      <w:r>
        <w:t xml:space="preserve">The Department of Environment is a Government agency within the Ministry of Health and the Environment in the Government of Antigua and Barbuda. </w:t>
      </w:r>
    </w:p>
    <w:p w14:paraId="6CE0FCE6" w14:textId="77777777" w:rsidR="008032E5" w:rsidRDefault="008032E5" w:rsidP="00556D4B">
      <w:pPr>
        <w:spacing w:after="120"/>
        <w:jc w:val="both"/>
      </w:pPr>
      <w:r>
        <w:t>The overall mission of the Department of Environment (DOE) is to provide technical advice on the environment and to design and implement projects on behalf of the Government and the people of Antigua and Barbuda. These interventions are designed to protect and enhance the country's environment, as well as seek common solutions to national, regional and global environmental challenges.</w:t>
      </w:r>
    </w:p>
    <w:p w14:paraId="0E530436" w14:textId="77777777" w:rsidR="008032E5" w:rsidRDefault="008032E5" w:rsidP="00556D4B">
      <w:pPr>
        <w:spacing w:after="120"/>
        <w:jc w:val="both"/>
      </w:pPr>
      <w:r>
        <w:t>The Department of Environment accomplishes its mission inter alia through:</w:t>
      </w:r>
    </w:p>
    <w:p w14:paraId="21D53A73" w14:textId="699F8776" w:rsidR="008032E5" w:rsidRDefault="008032E5" w:rsidP="00556D4B">
      <w:pPr>
        <w:pStyle w:val="ListParagraph"/>
        <w:numPr>
          <w:ilvl w:val="0"/>
          <w:numId w:val="19"/>
        </w:numPr>
        <w:spacing w:after="120"/>
        <w:jc w:val="both"/>
      </w:pPr>
      <w:r>
        <w:t>An integrated environmental planning and management system established on the basis of public participation and interagency collaboration,</w:t>
      </w:r>
    </w:p>
    <w:p w14:paraId="0C30156A" w14:textId="0C2231ED" w:rsidR="008032E5" w:rsidRDefault="008032E5" w:rsidP="00556D4B">
      <w:pPr>
        <w:pStyle w:val="ListParagraph"/>
        <w:numPr>
          <w:ilvl w:val="0"/>
          <w:numId w:val="19"/>
        </w:numPr>
        <w:spacing w:after="120"/>
        <w:jc w:val="both"/>
      </w:pPr>
      <w:r>
        <w:t>Efficient implementation of appropriate programmes, projects and technical services,</w:t>
      </w:r>
    </w:p>
    <w:p w14:paraId="2BB2297F" w14:textId="6B6C6D9B" w:rsidR="008032E5" w:rsidRDefault="008032E5" w:rsidP="00556D4B">
      <w:pPr>
        <w:pStyle w:val="ListParagraph"/>
        <w:numPr>
          <w:ilvl w:val="0"/>
          <w:numId w:val="19"/>
        </w:numPr>
        <w:spacing w:after="120"/>
        <w:jc w:val="both"/>
      </w:pPr>
      <w:r>
        <w:t>Providing accurate council on environmental management as well as effective and consistent enforcement of environmental laws and regulations, and</w:t>
      </w:r>
    </w:p>
    <w:p w14:paraId="6CEECA7F" w14:textId="5E2BC6D8" w:rsidR="008032E5" w:rsidRDefault="008032E5" w:rsidP="00556D4B">
      <w:pPr>
        <w:pStyle w:val="ListParagraph"/>
        <w:numPr>
          <w:ilvl w:val="0"/>
          <w:numId w:val="19"/>
        </w:numPr>
        <w:spacing w:after="120"/>
        <w:jc w:val="both"/>
      </w:pPr>
      <w:r>
        <w:t>Provide the public with easily accessible information and technical assistance on environmental issues.</w:t>
      </w:r>
    </w:p>
    <w:p w14:paraId="1FDB506B" w14:textId="560CAAB3" w:rsidR="008032E5" w:rsidRDefault="008032E5" w:rsidP="00556D4B">
      <w:pPr>
        <w:spacing w:after="120"/>
        <w:jc w:val="both"/>
      </w:pPr>
      <w:r>
        <w:t>The Department of Environment manages projects within four main Programmes</w:t>
      </w:r>
      <w:r w:rsidR="00F92556">
        <w:t>, which are aligned with national legislation and international environmental agreements</w:t>
      </w:r>
      <w:r>
        <w:t>. These are:</w:t>
      </w:r>
    </w:p>
    <w:p w14:paraId="3BA8CA19" w14:textId="04694C9E" w:rsidR="008032E5" w:rsidRDefault="008032E5" w:rsidP="00556D4B">
      <w:pPr>
        <w:pStyle w:val="ListParagraph"/>
        <w:numPr>
          <w:ilvl w:val="1"/>
          <w:numId w:val="10"/>
        </w:numPr>
        <w:spacing w:after="120"/>
        <w:jc w:val="both"/>
      </w:pPr>
      <w:r>
        <w:t>Climate Change Programme (Adaptation, Mitigation, and Capacity Building)</w:t>
      </w:r>
    </w:p>
    <w:p w14:paraId="555E07E2" w14:textId="599E71EA" w:rsidR="008032E5" w:rsidRDefault="008032E5" w:rsidP="00556D4B">
      <w:pPr>
        <w:pStyle w:val="ListParagraph"/>
        <w:numPr>
          <w:ilvl w:val="1"/>
          <w:numId w:val="10"/>
        </w:numPr>
        <w:spacing w:after="120"/>
        <w:jc w:val="both"/>
      </w:pPr>
      <w:r>
        <w:t>Biodiversity Programme</w:t>
      </w:r>
    </w:p>
    <w:p w14:paraId="13614B09" w14:textId="4579882E" w:rsidR="008032E5" w:rsidRDefault="008032E5" w:rsidP="00556D4B">
      <w:pPr>
        <w:pStyle w:val="ListParagraph"/>
        <w:numPr>
          <w:ilvl w:val="1"/>
          <w:numId w:val="10"/>
        </w:numPr>
        <w:spacing w:after="120"/>
        <w:jc w:val="both"/>
      </w:pPr>
      <w:r>
        <w:t>Pollution Programme</w:t>
      </w:r>
    </w:p>
    <w:p w14:paraId="16885B42" w14:textId="4B0A34AB" w:rsidR="008032E5" w:rsidRDefault="008032E5" w:rsidP="00556D4B">
      <w:pPr>
        <w:pStyle w:val="ListParagraph"/>
        <w:numPr>
          <w:ilvl w:val="1"/>
          <w:numId w:val="10"/>
        </w:numPr>
        <w:spacing w:after="120"/>
        <w:jc w:val="both"/>
      </w:pPr>
      <w:r>
        <w:t>Monitoring, Evaluation and Data Management Programme</w:t>
      </w:r>
    </w:p>
    <w:p w14:paraId="05F3030F" w14:textId="695947E5" w:rsidR="00D152A4" w:rsidRDefault="008032E5" w:rsidP="00556D4B">
      <w:pPr>
        <w:spacing w:after="120"/>
        <w:jc w:val="both"/>
      </w:pPr>
      <w:r>
        <w:t>The DOE</w:t>
      </w:r>
      <w:r w:rsidR="00F92556">
        <w:t xml:space="preserve"> </w:t>
      </w:r>
      <w:r w:rsidR="00D729BC">
        <w:t>has</w:t>
      </w:r>
      <w:r>
        <w:t xml:space="preserve"> </w:t>
      </w:r>
      <w:r w:rsidR="00D729BC">
        <w:t xml:space="preserve">an </w:t>
      </w:r>
      <w:r>
        <w:t xml:space="preserve">active portfolio </w:t>
      </w:r>
      <w:r w:rsidR="00D729BC">
        <w:t xml:space="preserve">of </w:t>
      </w:r>
      <w:r w:rsidR="00F92556">
        <w:t>13</w:t>
      </w:r>
      <w:r>
        <w:t xml:space="preserve"> projects, </w:t>
      </w:r>
      <w:r w:rsidR="00F92556">
        <w:t xml:space="preserve">with project sizes </w:t>
      </w:r>
      <w:r>
        <w:t xml:space="preserve">ranging from USD 50K to USD 15 million, with an additional </w:t>
      </w:r>
      <w:r w:rsidR="00F92556">
        <w:t>15</w:t>
      </w:r>
      <w:r>
        <w:t xml:space="preserve"> projects under development. </w:t>
      </w:r>
      <w:r w:rsidR="00F92556">
        <w:t xml:space="preserve">Partners of the DOE include </w:t>
      </w:r>
      <w:r>
        <w:t>UN Environment, UNDP, IUCN, Caribbean Development Bank, Government of Italy, Global Environment Facility, Green Climate Fund,</w:t>
      </w:r>
      <w:r w:rsidR="00F92556">
        <w:t xml:space="preserve"> </w:t>
      </w:r>
      <w:r w:rsidR="00C83A37">
        <w:t>and the</w:t>
      </w:r>
      <w:r w:rsidR="00F92556">
        <w:t xml:space="preserve"> Adaptation Fund,</w:t>
      </w:r>
      <w:r>
        <w:t xml:space="preserve"> among others. </w:t>
      </w:r>
      <w:r w:rsidR="00F92556">
        <w:t xml:space="preserve">The DOE was accredited as a direct access entity to the Adaptation Fund in 2015 and to the Green Climate Fund in 2017. The DOE is focused on designing high-impact, transformational projects that maximize funding directly available to the public, private and civil society actors in order to meet an ambitious environmental agenda. </w:t>
      </w:r>
    </w:p>
    <w:p w14:paraId="0F23AC88" w14:textId="77777777" w:rsidR="00446625" w:rsidRDefault="002C6280" w:rsidP="002C6280">
      <w:pPr>
        <w:pStyle w:val="ListParagraph"/>
        <w:tabs>
          <w:tab w:val="left" w:pos="540"/>
        </w:tabs>
        <w:autoSpaceDE w:val="0"/>
        <w:autoSpaceDN w:val="0"/>
        <w:adjustRightInd w:val="0"/>
        <w:ind w:left="0"/>
        <w:jc w:val="both"/>
        <w:rPr>
          <w:color w:val="000000" w:themeColor="text1"/>
          <w:lang w:val="en-GB"/>
        </w:rPr>
      </w:pPr>
      <w:r>
        <w:rPr>
          <w:color w:val="000000" w:themeColor="text1"/>
          <w:lang w:val="en-GB"/>
        </w:rPr>
        <w:t>This consultancy i</w:t>
      </w:r>
      <w:r w:rsidR="00322012">
        <w:rPr>
          <w:color w:val="000000" w:themeColor="text1"/>
          <w:lang w:val="en-GB"/>
        </w:rPr>
        <w:t>n</w:t>
      </w:r>
      <w:r>
        <w:rPr>
          <w:color w:val="000000" w:themeColor="text1"/>
          <w:lang w:val="en-GB"/>
        </w:rPr>
        <w:t xml:space="preserve"> th</w:t>
      </w:r>
      <w:r w:rsidR="00322012">
        <w:rPr>
          <w:color w:val="000000" w:themeColor="text1"/>
          <w:lang w:val="en-GB"/>
        </w:rPr>
        <w:t>is</w:t>
      </w:r>
      <w:r>
        <w:rPr>
          <w:color w:val="000000" w:themeColor="text1"/>
          <w:lang w:val="en-GB"/>
        </w:rPr>
        <w:t xml:space="preserve"> Terms of Reference is in direct reference to the Sherley Mountain Managed Area (SMMA)</w:t>
      </w:r>
      <w:r w:rsidR="00322012">
        <w:rPr>
          <w:color w:val="000000" w:themeColor="text1"/>
          <w:lang w:val="en-GB"/>
        </w:rPr>
        <w:t>, which is to be converted into a Protected Area within the Pathway to 2020 project</w:t>
      </w:r>
      <w:r>
        <w:rPr>
          <w:color w:val="000000" w:themeColor="text1"/>
          <w:lang w:val="en-GB"/>
        </w:rPr>
        <w:t xml:space="preserve">. </w:t>
      </w:r>
    </w:p>
    <w:p w14:paraId="6C3A3EFF" w14:textId="77777777" w:rsidR="00446625" w:rsidRDefault="00446625" w:rsidP="002C6280">
      <w:pPr>
        <w:pStyle w:val="ListParagraph"/>
        <w:tabs>
          <w:tab w:val="left" w:pos="540"/>
        </w:tabs>
        <w:autoSpaceDE w:val="0"/>
        <w:autoSpaceDN w:val="0"/>
        <w:adjustRightInd w:val="0"/>
        <w:ind w:left="0"/>
        <w:jc w:val="both"/>
        <w:rPr>
          <w:color w:val="000000" w:themeColor="text1"/>
          <w:lang w:val="en-GB"/>
        </w:rPr>
      </w:pPr>
    </w:p>
    <w:p w14:paraId="28C32EC1" w14:textId="0ADDA8E9" w:rsidR="00D448BA" w:rsidRDefault="00D448BA" w:rsidP="00556D4B">
      <w:pPr>
        <w:spacing w:after="120"/>
        <w:jc w:val="both"/>
      </w:pPr>
    </w:p>
    <w:p w14:paraId="74A5A418" w14:textId="1195286E" w:rsidR="00A87108" w:rsidRDefault="00A87108" w:rsidP="00556D4B">
      <w:pPr>
        <w:spacing w:after="120"/>
        <w:jc w:val="both"/>
      </w:pPr>
    </w:p>
    <w:p w14:paraId="223CB33E" w14:textId="0DB51C9B" w:rsidR="00A87108" w:rsidRDefault="00A87108" w:rsidP="00556D4B">
      <w:pPr>
        <w:spacing w:after="120"/>
        <w:jc w:val="both"/>
      </w:pPr>
    </w:p>
    <w:p w14:paraId="781719EE" w14:textId="77777777" w:rsidR="00A87108" w:rsidRDefault="00A87108" w:rsidP="00556D4B">
      <w:pPr>
        <w:spacing w:after="120"/>
        <w:jc w:val="both"/>
      </w:pPr>
    </w:p>
    <w:p w14:paraId="42CF8C5B" w14:textId="6C45FEC4" w:rsidR="00D448BA" w:rsidRPr="00556D4B" w:rsidRDefault="00D448BA" w:rsidP="00556D4B">
      <w:pPr>
        <w:pStyle w:val="ListParagraph"/>
        <w:numPr>
          <w:ilvl w:val="0"/>
          <w:numId w:val="13"/>
        </w:numPr>
        <w:rPr>
          <w:rFonts w:ascii="Century Gothic" w:hAnsi="Century Gothic"/>
          <w:b/>
          <w:sz w:val="28"/>
          <w:szCs w:val="28"/>
        </w:rPr>
      </w:pPr>
      <w:r w:rsidRPr="00556D4B">
        <w:rPr>
          <w:rFonts w:ascii="Century Gothic" w:hAnsi="Century Gothic"/>
          <w:b/>
          <w:sz w:val="28"/>
          <w:szCs w:val="28"/>
        </w:rPr>
        <w:lastRenderedPageBreak/>
        <w:t xml:space="preserve">Purpose and </w:t>
      </w:r>
      <w:r w:rsidR="00033BBD">
        <w:rPr>
          <w:rFonts w:ascii="Century Gothic" w:hAnsi="Century Gothic"/>
          <w:b/>
          <w:sz w:val="28"/>
          <w:szCs w:val="28"/>
        </w:rPr>
        <w:t>O</w:t>
      </w:r>
      <w:r w:rsidRPr="00556D4B">
        <w:rPr>
          <w:rFonts w:ascii="Century Gothic" w:hAnsi="Century Gothic"/>
          <w:b/>
          <w:sz w:val="28"/>
          <w:szCs w:val="28"/>
        </w:rPr>
        <w:t xml:space="preserve">bjective of </w:t>
      </w:r>
      <w:r w:rsidR="00033BBD">
        <w:rPr>
          <w:rFonts w:ascii="Century Gothic" w:hAnsi="Century Gothic"/>
          <w:b/>
          <w:sz w:val="28"/>
          <w:szCs w:val="28"/>
        </w:rPr>
        <w:t>C</w:t>
      </w:r>
      <w:r w:rsidRPr="00556D4B">
        <w:rPr>
          <w:rFonts w:ascii="Century Gothic" w:hAnsi="Century Gothic"/>
          <w:b/>
          <w:sz w:val="28"/>
          <w:szCs w:val="28"/>
        </w:rPr>
        <w:t>onsultancy</w:t>
      </w:r>
    </w:p>
    <w:p w14:paraId="7A871896" w14:textId="788A1342" w:rsidR="00D448BA" w:rsidRDefault="00D448BA" w:rsidP="00556D4B">
      <w:pPr>
        <w:spacing w:after="120"/>
        <w:jc w:val="both"/>
      </w:pPr>
    </w:p>
    <w:p w14:paraId="54F4DDC3" w14:textId="7F539AE6" w:rsidR="00F747D1" w:rsidRPr="00F747D1" w:rsidRDefault="00470F6E" w:rsidP="00F747D1">
      <w:pPr>
        <w:spacing w:line="276" w:lineRule="auto"/>
        <w:outlineLvl w:val="0"/>
        <w:rPr>
          <w:rFonts w:ascii="Cambria" w:hAnsi="Cambria"/>
          <w:b/>
        </w:rPr>
      </w:pPr>
      <w:r>
        <w:rPr>
          <w:rFonts w:ascii="Cambria" w:hAnsi="Cambria"/>
        </w:rPr>
        <w:t>The Department of Environment</w:t>
      </w:r>
      <w:r w:rsidR="00CC65CF" w:rsidRPr="00F747D1">
        <w:rPr>
          <w:rFonts w:ascii="Cambria" w:hAnsi="Cambria"/>
        </w:rPr>
        <w:t xml:space="preserve"> is seeking </w:t>
      </w:r>
      <w:r w:rsidR="00F747D1" w:rsidRPr="00F747D1">
        <w:rPr>
          <w:rFonts w:ascii="Cambria" w:hAnsi="Cambria"/>
        </w:rPr>
        <w:t>MSc Students /</w:t>
      </w:r>
      <w:r w:rsidR="00CC65CF" w:rsidRPr="00F747D1">
        <w:rPr>
          <w:rFonts w:ascii="Cambria" w:hAnsi="Cambria"/>
        </w:rPr>
        <w:t xml:space="preserve"> individuals </w:t>
      </w:r>
      <w:r w:rsidR="00F747D1" w:rsidRPr="00F747D1">
        <w:rPr>
          <w:rFonts w:ascii="Cambria" w:hAnsi="Cambria"/>
          <w:b/>
        </w:rPr>
        <w:t xml:space="preserve">to collect Carbon Sequestration data within the </w:t>
      </w:r>
      <w:r w:rsidR="00322012">
        <w:rPr>
          <w:rFonts w:ascii="Cambria" w:hAnsi="Cambria"/>
          <w:b/>
        </w:rPr>
        <w:t>Shekerley</w:t>
      </w:r>
      <w:r w:rsidR="00DB1F8A">
        <w:rPr>
          <w:rFonts w:ascii="Cambria" w:hAnsi="Cambria"/>
          <w:b/>
        </w:rPr>
        <w:t xml:space="preserve"> Mountain </w:t>
      </w:r>
      <w:r w:rsidR="00322012">
        <w:rPr>
          <w:rFonts w:ascii="Cambria" w:hAnsi="Cambria"/>
          <w:b/>
        </w:rPr>
        <w:t>Management A</w:t>
      </w:r>
      <w:r w:rsidR="00DB1F8A">
        <w:rPr>
          <w:rFonts w:ascii="Cambria" w:hAnsi="Cambria"/>
          <w:b/>
        </w:rPr>
        <w:t>rea of Antigua and Barb</w:t>
      </w:r>
      <w:r w:rsidR="009605E6">
        <w:rPr>
          <w:rFonts w:ascii="Cambria" w:hAnsi="Cambria"/>
          <w:b/>
        </w:rPr>
        <w:t>uda</w:t>
      </w:r>
      <w:r w:rsidR="00F747D1">
        <w:rPr>
          <w:rFonts w:ascii="Cambria" w:hAnsi="Cambria"/>
          <w:b/>
        </w:rPr>
        <w:t>.</w:t>
      </w:r>
      <w:r w:rsidR="00F747D1" w:rsidRPr="00F747D1">
        <w:rPr>
          <w:rFonts w:ascii="Cambria" w:hAnsi="Cambria"/>
          <w:b/>
        </w:rPr>
        <w:t xml:space="preserve"> </w:t>
      </w:r>
    </w:p>
    <w:p w14:paraId="1939886C" w14:textId="51020133" w:rsidR="00CC65CF" w:rsidRPr="00F747D1" w:rsidRDefault="00CC65CF" w:rsidP="00F747D1">
      <w:pPr>
        <w:spacing w:after="12" w:line="249" w:lineRule="auto"/>
        <w:rPr>
          <w:rFonts w:ascii="Cambria" w:hAnsi="Cambria"/>
        </w:rPr>
      </w:pPr>
    </w:p>
    <w:p w14:paraId="24CD948F" w14:textId="77777777" w:rsidR="00446625" w:rsidRPr="002A7EC4" w:rsidRDefault="00446625" w:rsidP="00446625">
      <w:pPr>
        <w:pStyle w:val="ListParagraph"/>
        <w:tabs>
          <w:tab w:val="left" w:pos="540"/>
        </w:tabs>
        <w:autoSpaceDE w:val="0"/>
        <w:autoSpaceDN w:val="0"/>
        <w:adjustRightInd w:val="0"/>
        <w:ind w:left="0"/>
        <w:jc w:val="both"/>
        <w:rPr>
          <w:color w:val="000000" w:themeColor="text1"/>
          <w:lang w:val="en-GB"/>
        </w:rPr>
      </w:pPr>
      <w:r w:rsidRPr="002A7EC4">
        <w:rPr>
          <w:color w:val="000000" w:themeColor="text1"/>
          <w:lang w:val="en-GB"/>
        </w:rPr>
        <w:t>The vegetation of the Shekerley Mountain range is dominated by a mixture of evergreen and deciduous-evergreen forest, lower montane forest within the wetter valleys and sheltered slopes, and drier slopes consisting mostly of woodlands. In total, 15 different types of vegetation communities have been described in this area (inclusive of the aforementioned), in addition to other land uses/types (farming, ponds, gardens, commercial and urban areas). Roaming livestock have converted some areas to scrub woodland in this mountain range. Rural communities within the proposed Shekerley Mountain Management Area include John Hughes, Sawcotts, Cades Bay, Urlings, Johnson Point, Bendals, Sweets and Jennings.  Economic activities within and adjacent to the area include hotels (Carlisle Bay, Curtain Bluff, Blue Herron, Coco Beach, Jolly Beach), ecotourism resorts (Antigua Rainforest Canopy Tours, South Coast Horizons),</w:t>
      </w:r>
      <w:r>
        <w:rPr>
          <w:color w:val="000000" w:themeColor="text1"/>
          <w:lang w:val="en-GB"/>
        </w:rPr>
        <w:t xml:space="preserve"> Agricultural Stations (Claremo</w:t>
      </w:r>
      <w:r w:rsidRPr="002A7EC4">
        <w:rPr>
          <w:color w:val="000000" w:themeColor="text1"/>
          <w:lang w:val="en-GB"/>
        </w:rPr>
        <w:t>nt Farms, Cades Bay Pineapple Station, Christian Valley Agricultural Station), and the Urlings Fisheries Complex. In addition, some local residents engage in small-scale farming of crops and fruits (the area is known to have the greatest diversity of mango trees on the island) and/or livestock raising (most of which roam freely), and there are some quarrying and groundwater extraction activities in the area.</w:t>
      </w:r>
      <w:r w:rsidRPr="002A7EC4">
        <w:rPr>
          <w:rStyle w:val="FootnoteReference"/>
          <w:color w:val="000000" w:themeColor="text1"/>
          <w:lang w:val="en-GB"/>
        </w:rPr>
        <w:footnoteReference w:id="1"/>
      </w:r>
    </w:p>
    <w:p w14:paraId="7DC903B1" w14:textId="77777777" w:rsidR="00446625" w:rsidRPr="002A7EC4" w:rsidRDefault="00446625" w:rsidP="00446625">
      <w:pPr>
        <w:tabs>
          <w:tab w:val="left" w:pos="540"/>
        </w:tabs>
        <w:autoSpaceDE w:val="0"/>
        <w:autoSpaceDN w:val="0"/>
        <w:adjustRightInd w:val="0"/>
        <w:jc w:val="both"/>
        <w:rPr>
          <w:color w:val="000000" w:themeColor="text1"/>
          <w:lang w:val="en-GB"/>
        </w:rPr>
      </w:pPr>
    </w:p>
    <w:p w14:paraId="239FA406" w14:textId="77777777" w:rsidR="00446625" w:rsidRPr="002A7EC4" w:rsidRDefault="00446625" w:rsidP="00446625">
      <w:pPr>
        <w:pStyle w:val="ListParagraph"/>
        <w:tabs>
          <w:tab w:val="left" w:pos="540"/>
        </w:tabs>
        <w:autoSpaceDE w:val="0"/>
        <w:autoSpaceDN w:val="0"/>
        <w:adjustRightInd w:val="0"/>
        <w:ind w:left="0"/>
        <w:jc w:val="both"/>
        <w:rPr>
          <w:color w:val="000000" w:themeColor="text1"/>
          <w:lang w:val="en-GB"/>
        </w:rPr>
      </w:pPr>
      <w:r w:rsidRPr="002A7EC4">
        <w:rPr>
          <w:color w:val="000000" w:themeColor="text1"/>
          <w:lang w:val="en-GB"/>
        </w:rPr>
        <w:t xml:space="preserve">The dispersed nature of the flora/fauna of the mountain range is representative of the once diverse and rich biodiversity of Antigua. Lower montane forests, which are comparable to rainforest, are not well formed in Antigua and Barbuda, and exist only in small patches (&lt;0.5 hectares) throughout the Shekerley Mountains.  However, these areas host the richest plant communities on the island, and mature areas (which mostly remain only within the Shekerley range) provide habitat for the growth of rare forest species including orchids and ferns.  Bird numbers in the Shekerley range fluctuate depending on the season, food availability, amount of rainfall, and nesting habitat. North American and European avian fauna arrive in late October to feed on the population explosion of insects that happens due to increased rainfall at this time of the year. Other migrant species of birds may arrive earlier in the year. The native bird species of the Shekerley Mountain range include some of the country’s rarest, most colourful and regional endemic species, including </w:t>
      </w:r>
      <w:r w:rsidRPr="002A7EC4">
        <w:rPr>
          <w:i/>
          <w:color w:val="000000" w:themeColor="text1"/>
          <w:lang w:val="en-GB"/>
        </w:rPr>
        <w:t>inter alia</w:t>
      </w:r>
      <w:r w:rsidRPr="002A7EC4">
        <w:rPr>
          <w:color w:val="000000" w:themeColor="text1"/>
          <w:lang w:val="en-GB"/>
        </w:rPr>
        <w:t>: Scaly-naped pigeon (</w:t>
      </w:r>
      <w:r w:rsidRPr="002A7EC4">
        <w:rPr>
          <w:i/>
          <w:color w:val="000000" w:themeColor="text1"/>
          <w:lang w:val="en-GB"/>
        </w:rPr>
        <w:t>Patagioenas squamosa</w:t>
      </w:r>
      <w:r w:rsidRPr="002A7EC4">
        <w:rPr>
          <w:color w:val="000000" w:themeColor="text1"/>
          <w:lang w:val="en-GB"/>
        </w:rPr>
        <w:t>), Brown Trembler (</w:t>
      </w:r>
      <w:r w:rsidRPr="002A7EC4">
        <w:rPr>
          <w:i/>
          <w:color w:val="000000" w:themeColor="text1"/>
          <w:lang w:val="en-GB"/>
        </w:rPr>
        <w:t>Cinclocerthia ruficauda</w:t>
      </w:r>
      <w:r w:rsidRPr="002A7EC4">
        <w:rPr>
          <w:color w:val="000000" w:themeColor="text1"/>
          <w:lang w:val="en-GB"/>
        </w:rPr>
        <w:t>) and the Purple-throated Carib (</w:t>
      </w:r>
      <w:r w:rsidRPr="002A7EC4">
        <w:rPr>
          <w:i/>
          <w:color w:val="000000" w:themeColor="text1"/>
          <w:lang w:val="en-GB"/>
        </w:rPr>
        <w:t>Eulampis jugalaris</w:t>
      </w:r>
      <w:r w:rsidRPr="002A7EC4">
        <w:rPr>
          <w:color w:val="000000" w:themeColor="text1"/>
          <w:lang w:val="en-GB"/>
        </w:rPr>
        <w:t>).  Around 15 species of reptiles and amphibian species are found within the Shekerley Mountain range, including the Antigua least gecko (</w:t>
      </w:r>
      <w:r w:rsidRPr="002A7EC4">
        <w:rPr>
          <w:bCs/>
          <w:i/>
          <w:iCs/>
          <w:color w:val="000000" w:themeColor="text1"/>
          <w:lang w:val="en-GB"/>
        </w:rPr>
        <w:t>Sphaerodactylus elegantulus</w:t>
      </w:r>
      <w:r w:rsidRPr="002A7EC4">
        <w:rPr>
          <w:i/>
          <w:color w:val="000000" w:themeColor="text1"/>
          <w:lang w:val="en-GB"/>
        </w:rPr>
        <w:t xml:space="preserve">), </w:t>
      </w:r>
      <w:r w:rsidRPr="002A7EC4">
        <w:rPr>
          <w:color w:val="000000" w:themeColor="text1"/>
          <w:lang w:val="en-GB"/>
        </w:rPr>
        <w:t xml:space="preserve">which is endemic to the island of Antigua and Barbuda, as well as several </w:t>
      </w:r>
      <w:r w:rsidRPr="002A7EC4">
        <w:rPr>
          <w:lang w:val="en-GB"/>
        </w:rPr>
        <w:t xml:space="preserve">regional (and Lesser Antillies) </w:t>
      </w:r>
      <w:r w:rsidRPr="002A7EC4">
        <w:rPr>
          <w:color w:val="000000" w:themeColor="text1"/>
          <w:lang w:val="en-GB"/>
        </w:rPr>
        <w:t>endemic frog species (</w:t>
      </w:r>
      <w:r w:rsidRPr="002A7EC4">
        <w:rPr>
          <w:i/>
          <w:lang w:val="en-GB"/>
        </w:rPr>
        <w:t>Eleutherodactylus johnstonei</w:t>
      </w:r>
      <w:r w:rsidRPr="002A7EC4" w:rsidDel="00667944">
        <w:rPr>
          <w:color w:val="000000" w:themeColor="text1"/>
          <w:lang w:val="en-GB"/>
        </w:rPr>
        <w:t xml:space="preserve"> </w:t>
      </w:r>
      <w:r w:rsidRPr="002A7EC4">
        <w:rPr>
          <w:color w:val="000000" w:themeColor="text1"/>
          <w:lang w:val="en-GB"/>
        </w:rPr>
        <w:t xml:space="preserve">and </w:t>
      </w:r>
      <w:r w:rsidRPr="002A7EC4">
        <w:rPr>
          <w:i/>
          <w:lang w:val="en-GB"/>
        </w:rPr>
        <w:t>Eleutherodactylus martinicencis</w:t>
      </w:r>
      <w:r w:rsidRPr="002A7EC4">
        <w:rPr>
          <w:color w:val="000000" w:themeColor="text1"/>
          <w:lang w:val="en-GB"/>
        </w:rPr>
        <w:t>) and the Blind Worm (</w:t>
      </w:r>
      <w:r w:rsidRPr="002A7EC4">
        <w:rPr>
          <w:i/>
          <w:color w:val="000000" w:themeColor="text1"/>
          <w:lang w:val="en-GB"/>
        </w:rPr>
        <w:t>Typhlops monastus</w:t>
      </w:r>
      <w:r w:rsidRPr="002A7EC4">
        <w:rPr>
          <w:color w:val="000000" w:themeColor="text1"/>
          <w:lang w:val="en-GB"/>
        </w:rPr>
        <w:t>).</w:t>
      </w:r>
    </w:p>
    <w:p w14:paraId="3E64446F" w14:textId="77777777" w:rsidR="00446625" w:rsidRPr="002A7EC4" w:rsidRDefault="00446625" w:rsidP="00446625">
      <w:pPr>
        <w:tabs>
          <w:tab w:val="left" w:pos="540"/>
        </w:tabs>
        <w:autoSpaceDE w:val="0"/>
        <w:autoSpaceDN w:val="0"/>
        <w:adjustRightInd w:val="0"/>
        <w:jc w:val="both"/>
        <w:rPr>
          <w:color w:val="000000" w:themeColor="text1"/>
          <w:lang w:val="en-GB"/>
        </w:rPr>
      </w:pPr>
    </w:p>
    <w:p w14:paraId="27A23064" w14:textId="77777777" w:rsidR="00446625" w:rsidRPr="002A7EC4" w:rsidRDefault="00446625" w:rsidP="00446625">
      <w:pPr>
        <w:pStyle w:val="ListParagraph"/>
        <w:tabs>
          <w:tab w:val="left" w:pos="540"/>
        </w:tabs>
        <w:autoSpaceDE w:val="0"/>
        <w:autoSpaceDN w:val="0"/>
        <w:adjustRightInd w:val="0"/>
        <w:ind w:left="0"/>
        <w:jc w:val="both"/>
        <w:rPr>
          <w:color w:val="000000" w:themeColor="text1"/>
          <w:lang w:val="en-GB"/>
        </w:rPr>
      </w:pPr>
      <w:r w:rsidRPr="002A7EC4">
        <w:rPr>
          <w:color w:val="000000" w:themeColor="text1"/>
          <w:lang w:val="en-GB"/>
        </w:rPr>
        <w:t xml:space="preserve">The proposed SMMA encompasses two of Antigua and Barbuda’s twelve Key Biodiversity Areas, as identified by the Critical Ecosystem Partnership Fund (CEPF).  </w:t>
      </w:r>
      <w:r w:rsidRPr="002A7EC4">
        <w:rPr>
          <w:lang w:val="en-GB"/>
        </w:rPr>
        <w:t>The Walling’s Forest KBA/IBA</w:t>
      </w:r>
      <w:r w:rsidRPr="002A7EC4">
        <w:rPr>
          <w:rStyle w:val="FootnoteReference"/>
          <w:lang w:val="en-GB"/>
        </w:rPr>
        <w:footnoteReference w:id="2"/>
      </w:r>
      <w:r w:rsidRPr="002A7EC4">
        <w:rPr>
          <w:lang w:val="en-GB"/>
        </w:rPr>
        <w:t xml:space="preserve"> (188 ha) is located on the northwest slopes of Signal Hill (Antigua’s second highest mountain), while the Christian Valley KBA/IBA</w:t>
      </w:r>
      <w:r w:rsidRPr="002A7EC4">
        <w:rPr>
          <w:rStyle w:val="FootnoteReference"/>
          <w:lang w:val="en-GB"/>
        </w:rPr>
        <w:footnoteReference w:id="3"/>
      </w:r>
      <w:r w:rsidRPr="002A7EC4">
        <w:rPr>
          <w:lang w:val="en-GB"/>
        </w:rPr>
        <w:t xml:space="preserve"> (669 ha) is located to the north on the other side of Boggy Peak (Antigua’s highest mountain) (</w:t>
      </w:r>
      <w:r w:rsidRPr="002A7EC4">
        <w:rPr>
          <w:color w:val="000000" w:themeColor="text1"/>
          <w:lang w:val="en-GB"/>
        </w:rPr>
        <w:t xml:space="preserve">see Figure 3 </w:t>
      </w:r>
      <w:r w:rsidRPr="002A7EC4">
        <w:rPr>
          <w:lang w:val="en-GB"/>
        </w:rPr>
        <w:t xml:space="preserve">below). Together, these two KBAs/IBAs support populations of nine (of the 11) </w:t>
      </w:r>
      <w:r w:rsidRPr="002A7EC4">
        <w:rPr>
          <w:lang w:val="en-GB"/>
        </w:rPr>
        <w:lastRenderedPageBreak/>
        <w:t>Lesser Antilles EBA restricted-range birds. Within Antigua, some of these species (Bridled Quail-dove </w:t>
      </w:r>
      <w:r w:rsidRPr="002A7EC4">
        <w:rPr>
          <w:i/>
          <w:iCs/>
          <w:lang w:val="en-GB"/>
        </w:rPr>
        <w:t>Geotrygon mystacea</w:t>
      </w:r>
      <w:r w:rsidRPr="002A7EC4">
        <w:rPr>
          <w:lang w:val="en-GB"/>
        </w:rPr>
        <w:t>, Scaly-breasted Thrasher </w:t>
      </w:r>
      <w:r w:rsidRPr="002A7EC4">
        <w:rPr>
          <w:i/>
          <w:iCs/>
          <w:lang w:val="en-GB"/>
        </w:rPr>
        <w:t>Margarops fuscus</w:t>
      </w:r>
      <w:r w:rsidRPr="002A7EC4">
        <w:rPr>
          <w:lang w:val="en-GB"/>
        </w:rPr>
        <w:t>, Pearly-eyed Thrasher </w:t>
      </w:r>
      <w:r w:rsidRPr="002A7EC4">
        <w:rPr>
          <w:i/>
          <w:iCs/>
          <w:lang w:val="en-GB"/>
        </w:rPr>
        <w:t>M. fuscatus </w:t>
      </w:r>
      <w:r w:rsidRPr="002A7EC4">
        <w:rPr>
          <w:lang w:val="en-GB"/>
        </w:rPr>
        <w:t>and Antillean Euphonia </w:t>
      </w:r>
      <w:r w:rsidRPr="002A7EC4">
        <w:rPr>
          <w:i/>
          <w:iCs/>
          <w:lang w:val="en-GB"/>
        </w:rPr>
        <w:t>Euphonia musica)</w:t>
      </w:r>
      <w:r w:rsidRPr="002A7EC4">
        <w:rPr>
          <w:lang w:val="en-GB"/>
        </w:rPr>
        <w:t xml:space="preserve"> are entirely confined to the Walling’s Forest and Christian Valley ecosystem. A significant population of the Near Threatened White-crowned Pigeon </w:t>
      </w:r>
      <w:r w:rsidRPr="002A7EC4">
        <w:rPr>
          <w:i/>
          <w:iCs/>
          <w:lang w:val="en-GB"/>
        </w:rPr>
        <w:t>Patagioenas leucocephala</w:t>
      </w:r>
      <w:r w:rsidRPr="002A7EC4">
        <w:rPr>
          <w:lang w:val="en-GB"/>
        </w:rPr>
        <w:t> also occurs.  The Wallings Forest KBA/IBA also supports the largest and best remaining tract of moist evergreen forest on the island, and harbours seven species of bat, including the Near Threatened insular single leaf bat </w:t>
      </w:r>
      <w:r w:rsidRPr="002A7EC4">
        <w:rPr>
          <w:i/>
          <w:iCs/>
          <w:lang w:val="en-GB"/>
        </w:rPr>
        <w:t>Monophylus plethodon</w:t>
      </w:r>
      <w:r w:rsidRPr="002A7EC4">
        <w:rPr>
          <w:lang w:val="en-GB"/>
        </w:rPr>
        <w:t> and the Brazilian free-tailed bat </w:t>
      </w:r>
      <w:r w:rsidRPr="002A7EC4">
        <w:rPr>
          <w:i/>
          <w:iCs/>
          <w:lang w:val="en-GB"/>
        </w:rPr>
        <w:t>Tadarida brasilensis</w:t>
      </w:r>
      <w:r w:rsidRPr="002A7EC4">
        <w:rPr>
          <w:lang w:val="en-GB"/>
        </w:rPr>
        <w:t>.  The Christian Valley KBA/IBA has not recorded any Globally Threatened or endemic species, but the area has a diverse flora and insect fauna.  In addition, seven bat species (including Antillean fruit-eating bat </w:t>
      </w:r>
      <w:r w:rsidRPr="002A7EC4">
        <w:rPr>
          <w:i/>
          <w:iCs/>
          <w:lang w:val="en-GB"/>
        </w:rPr>
        <w:t>Brachyphylla cavernarum </w:t>
      </w:r>
      <w:r w:rsidRPr="002A7EC4">
        <w:rPr>
          <w:lang w:val="en-GB"/>
        </w:rPr>
        <w:t>and greater bulldog bat </w:t>
      </w:r>
      <w:r w:rsidRPr="002A7EC4">
        <w:rPr>
          <w:i/>
          <w:iCs/>
          <w:lang w:val="en-GB"/>
        </w:rPr>
        <w:t>Noctilio leporinus</w:t>
      </w:r>
      <w:r w:rsidRPr="002A7EC4">
        <w:rPr>
          <w:lang w:val="en-GB"/>
        </w:rPr>
        <w:t>) have been documented.</w:t>
      </w:r>
    </w:p>
    <w:p w14:paraId="14272C8B" w14:textId="77777777" w:rsidR="00446625" w:rsidRDefault="00446625" w:rsidP="00446625">
      <w:pPr>
        <w:pStyle w:val="ListParagraph"/>
        <w:tabs>
          <w:tab w:val="left" w:pos="540"/>
        </w:tabs>
        <w:autoSpaceDE w:val="0"/>
        <w:autoSpaceDN w:val="0"/>
        <w:adjustRightInd w:val="0"/>
        <w:ind w:left="0"/>
        <w:jc w:val="both"/>
        <w:rPr>
          <w:color w:val="000000" w:themeColor="text1"/>
          <w:lang w:val="en-GB"/>
        </w:rPr>
      </w:pPr>
    </w:p>
    <w:p w14:paraId="3DE49D86" w14:textId="77777777" w:rsidR="00446625" w:rsidRPr="002A7EC4" w:rsidRDefault="00446625" w:rsidP="00446625">
      <w:pPr>
        <w:pStyle w:val="ListParagraph"/>
        <w:tabs>
          <w:tab w:val="left" w:pos="540"/>
        </w:tabs>
        <w:autoSpaceDE w:val="0"/>
        <w:autoSpaceDN w:val="0"/>
        <w:adjustRightInd w:val="0"/>
        <w:ind w:left="0"/>
        <w:jc w:val="both"/>
        <w:rPr>
          <w:color w:val="000000" w:themeColor="text1"/>
          <w:lang w:val="en-GB"/>
        </w:rPr>
      </w:pPr>
      <w:r w:rsidRPr="002A7EC4">
        <w:rPr>
          <w:color w:val="000000" w:themeColor="text1"/>
          <w:lang w:val="en-GB"/>
        </w:rPr>
        <w:t xml:space="preserve">The proposed SMMA will also encompass the proposed Boggy Peak National Park (1,039 ha), which is being established with assistance from the GEF-funded SPPARE project.  The Boggy Peak NP includes significant biodiversity from wet and dry forest, plant and bird species to watersheds, outstanding scenery and genetic material for about 28 species of mangoes, and the famous Antiguan black pineapple.  One of the key objectives of establishing the SMMA is </w:t>
      </w:r>
      <w:r w:rsidRPr="002A7EC4">
        <w:rPr>
          <w:lang w:val="en-GB"/>
        </w:rPr>
        <w:t>to create a conservation corridor linking the Wallings Reservoir (forest reserve) in the southeast part of the SMMA with the Boggy Peak National Park in the centre-west of the SMMA.  In addition, the SMMA is situated just above the Cades Bay Marine Reserve, one of the premier coastal and marine conservation areas in the country, and establishment of the SMMA will benefit the marine reserve by reducing downstream flows of agricultural chemicals and runoff of soils due to agricultural and forestry activities (see Figure 3 below).</w:t>
      </w:r>
    </w:p>
    <w:p w14:paraId="22CED5B6" w14:textId="77777777" w:rsidR="00322012" w:rsidRDefault="00322012" w:rsidP="006A3B96">
      <w:pPr>
        <w:tabs>
          <w:tab w:val="left" w:pos="792"/>
        </w:tabs>
        <w:jc w:val="both"/>
        <w:textAlignment w:val="baseline"/>
        <w:outlineLvl w:val="0"/>
        <w:rPr>
          <w:rFonts w:ascii="Cambria" w:hAnsi="Cambria"/>
        </w:rPr>
      </w:pPr>
    </w:p>
    <w:p w14:paraId="06A2A86F" w14:textId="086D2E8B" w:rsidR="00E7390F" w:rsidRPr="00F747D1" w:rsidRDefault="00CC65CF" w:rsidP="006A3B96">
      <w:pPr>
        <w:tabs>
          <w:tab w:val="left" w:pos="792"/>
        </w:tabs>
        <w:jc w:val="both"/>
        <w:textAlignment w:val="baseline"/>
        <w:outlineLvl w:val="0"/>
        <w:rPr>
          <w:rFonts w:ascii="Cambria" w:hAnsi="Cambria"/>
        </w:rPr>
      </w:pPr>
      <w:r w:rsidRPr="00A87108">
        <w:rPr>
          <w:rFonts w:ascii="Cambria" w:hAnsi="Cambria"/>
        </w:rPr>
        <w:t>The objective</w:t>
      </w:r>
      <w:r w:rsidR="00BB108F" w:rsidRPr="00A87108">
        <w:rPr>
          <w:rFonts w:ascii="Cambria" w:hAnsi="Cambria"/>
        </w:rPr>
        <w:t xml:space="preserve"> </w:t>
      </w:r>
      <w:r w:rsidRPr="00A87108">
        <w:rPr>
          <w:rFonts w:ascii="Cambria" w:hAnsi="Cambria"/>
        </w:rPr>
        <w:t>of the Consultancy is</w:t>
      </w:r>
      <w:r w:rsidR="005A460A" w:rsidRPr="00A87108">
        <w:rPr>
          <w:rFonts w:ascii="Cambria" w:hAnsi="Cambria"/>
        </w:rPr>
        <w:t xml:space="preserve"> to obtain data </w:t>
      </w:r>
      <w:r w:rsidR="009D5D8A" w:rsidRPr="00A87108">
        <w:rPr>
          <w:rFonts w:ascii="Cambria" w:hAnsi="Cambria"/>
        </w:rPr>
        <w:t xml:space="preserve">to understand the role of the </w:t>
      </w:r>
      <w:r w:rsidR="005A460A" w:rsidRPr="00A87108">
        <w:rPr>
          <w:rFonts w:ascii="Cambria" w:hAnsi="Cambria"/>
        </w:rPr>
        <w:t xml:space="preserve">the </w:t>
      </w:r>
      <w:r w:rsidR="00322012" w:rsidRPr="00A87108">
        <w:rPr>
          <w:rFonts w:ascii="Cambria" w:hAnsi="Cambria"/>
        </w:rPr>
        <w:t xml:space="preserve">SMMA </w:t>
      </w:r>
      <w:r w:rsidR="005A460A" w:rsidRPr="00A87108">
        <w:rPr>
          <w:rFonts w:ascii="Cambria" w:hAnsi="Cambria"/>
        </w:rPr>
        <w:t xml:space="preserve"> a carbon sink</w:t>
      </w:r>
      <w:r w:rsidR="009D5D8A" w:rsidRPr="00A87108">
        <w:rPr>
          <w:rFonts w:ascii="Cambria" w:hAnsi="Cambria"/>
        </w:rPr>
        <w:t xml:space="preserve">.  </w:t>
      </w:r>
      <w:r w:rsidR="005A460A" w:rsidRPr="00A87108">
        <w:rPr>
          <w:rFonts w:ascii="Cambria" w:hAnsi="Cambria"/>
        </w:rPr>
        <w:t xml:space="preserve"> </w:t>
      </w:r>
    </w:p>
    <w:p w14:paraId="500891AB" w14:textId="22CA7941" w:rsidR="00BB108F" w:rsidRPr="00BB108F" w:rsidRDefault="00BB108F" w:rsidP="005A460A">
      <w:pPr>
        <w:tabs>
          <w:tab w:val="left" w:pos="792"/>
        </w:tabs>
        <w:spacing w:line="276" w:lineRule="auto"/>
        <w:jc w:val="both"/>
        <w:textAlignment w:val="baseline"/>
        <w:outlineLvl w:val="0"/>
      </w:pPr>
    </w:p>
    <w:p w14:paraId="71749CE8" w14:textId="77777777" w:rsidR="00BB108F" w:rsidRDefault="00BB108F" w:rsidP="00BB108F">
      <w:pPr>
        <w:tabs>
          <w:tab w:val="left" w:pos="792"/>
        </w:tabs>
        <w:spacing w:line="276" w:lineRule="auto"/>
        <w:jc w:val="both"/>
        <w:textAlignment w:val="baseline"/>
        <w:outlineLvl w:val="0"/>
      </w:pPr>
    </w:p>
    <w:p w14:paraId="139213D6" w14:textId="60FEC066" w:rsidR="00D448BA" w:rsidRPr="00D51B1D" w:rsidRDefault="00D448BA" w:rsidP="00D448BA">
      <w:pPr>
        <w:pStyle w:val="ListParagraph"/>
        <w:numPr>
          <w:ilvl w:val="0"/>
          <w:numId w:val="13"/>
        </w:numPr>
      </w:pPr>
      <w:r>
        <w:rPr>
          <w:rFonts w:ascii="Century Gothic" w:hAnsi="Century Gothic"/>
          <w:b/>
          <w:sz w:val="28"/>
          <w:szCs w:val="28"/>
        </w:rPr>
        <w:t>Scope of Work</w:t>
      </w:r>
    </w:p>
    <w:p w14:paraId="7D2BB7DC" w14:textId="77777777" w:rsidR="00D51B1D" w:rsidRPr="00556D4B" w:rsidRDefault="00D51B1D" w:rsidP="00D51B1D">
      <w:pPr>
        <w:pStyle w:val="ListParagraph"/>
      </w:pPr>
    </w:p>
    <w:p w14:paraId="3765A1C7" w14:textId="285EFD42" w:rsidR="00470FC8" w:rsidRPr="00A87108" w:rsidRDefault="00470FC8" w:rsidP="00556D4B">
      <w:pPr>
        <w:spacing w:after="120"/>
        <w:jc w:val="both"/>
        <w:rPr>
          <w:rFonts w:ascii="Cambria" w:hAnsi="Cambria"/>
        </w:rPr>
      </w:pPr>
      <w:r w:rsidRPr="00A87108">
        <w:rPr>
          <w:rFonts w:ascii="Cambria" w:hAnsi="Cambria"/>
          <w:lang w:val="en-GB"/>
        </w:rPr>
        <w:t>The scope of work is understood to cover all the activities necessary to accomplish the stated objectives of the project including but not limited to the following:</w:t>
      </w:r>
    </w:p>
    <w:p w14:paraId="206E61AB" w14:textId="52641930" w:rsidR="00DB1F8A" w:rsidRPr="00A87108" w:rsidRDefault="00DB1F8A" w:rsidP="009D4A5E">
      <w:pPr>
        <w:pStyle w:val="ListParagraph"/>
        <w:numPr>
          <w:ilvl w:val="0"/>
          <w:numId w:val="20"/>
        </w:numPr>
        <w:rPr>
          <w:rFonts w:ascii="Cambria" w:hAnsi="Cambria"/>
        </w:rPr>
      </w:pPr>
      <w:r w:rsidRPr="00A87108">
        <w:rPr>
          <w:rFonts w:ascii="Cambria" w:hAnsi="Cambria"/>
        </w:rPr>
        <w:t>Survey plant/tree species in the area with a view to identifying the species</w:t>
      </w:r>
    </w:p>
    <w:p w14:paraId="74C96A5F" w14:textId="7B21EABD" w:rsidR="00664EF5" w:rsidRPr="00A87108" w:rsidRDefault="519A8BC1" w:rsidP="519A8BC1">
      <w:pPr>
        <w:pStyle w:val="ListParagraph"/>
        <w:numPr>
          <w:ilvl w:val="0"/>
          <w:numId w:val="20"/>
        </w:numPr>
        <w:rPr>
          <w:rFonts w:ascii="Cambria" w:eastAsia="Cambria" w:hAnsi="Cambria" w:cs="Cambria"/>
        </w:rPr>
      </w:pPr>
      <w:r w:rsidRPr="00A87108">
        <w:rPr>
          <w:rFonts w:ascii="Cambria" w:eastAsia="Cambria" w:hAnsi="Cambria" w:cs="Cambria"/>
        </w:rPr>
        <w:t>Determine the carbon sequestration values for pastur</w:t>
      </w:r>
      <w:r w:rsidR="00A87108" w:rsidRPr="00A87108">
        <w:rPr>
          <w:rFonts w:ascii="Cambria" w:eastAsia="Cambria" w:hAnsi="Cambria" w:cs="Cambria"/>
        </w:rPr>
        <w:t>e</w:t>
      </w:r>
      <w:r w:rsidR="009D5D8A" w:rsidRPr="00A87108">
        <w:rPr>
          <w:rFonts w:ascii="Cambria" w:eastAsia="Cambria" w:hAnsi="Cambria" w:cs="Cambria"/>
        </w:rPr>
        <w:t xml:space="preserve">, </w:t>
      </w:r>
      <w:r w:rsidRPr="00A87108">
        <w:rPr>
          <w:rFonts w:ascii="Cambria" w:eastAsia="Cambria" w:hAnsi="Cambria" w:cs="Cambria"/>
        </w:rPr>
        <w:t>forest</w:t>
      </w:r>
      <w:r w:rsidR="009D5D8A" w:rsidRPr="00A87108">
        <w:rPr>
          <w:rFonts w:ascii="Cambria" w:eastAsia="Cambria" w:hAnsi="Cambria" w:cs="Cambria"/>
        </w:rPr>
        <w:t xml:space="preserve">, mangroves and seagrass beds within the </w:t>
      </w:r>
      <w:r w:rsidRPr="00A87108">
        <w:rPr>
          <w:rFonts w:ascii="Cambria" w:eastAsia="Cambria" w:hAnsi="Cambria" w:cs="Cambria"/>
        </w:rPr>
        <w:t xml:space="preserve">project area </w:t>
      </w:r>
    </w:p>
    <w:p w14:paraId="2A894C5A" w14:textId="61BCB5EC" w:rsidR="519A8BC1" w:rsidRPr="00A87108" w:rsidRDefault="519A8BC1" w:rsidP="519A8BC1">
      <w:pPr>
        <w:pStyle w:val="ListParagraph"/>
        <w:numPr>
          <w:ilvl w:val="0"/>
          <w:numId w:val="20"/>
        </w:numPr>
        <w:rPr>
          <w:rFonts w:ascii="Cambria" w:eastAsia="Cambria" w:hAnsi="Cambria" w:cs="Cambria"/>
        </w:rPr>
      </w:pPr>
      <w:r w:rsidRPr="00A87108">
        <w:rPr>
          <w:rFonts w:ascii="Cambria" w:eastAsia="Cambria" w:hAnsi="Cambria" w:cs="Cambria"/>
        </w:rPr>
        <w:t xml:space="preserve">Training of the DoE staff (at least 3 members) and </w:t>
      </w:r>
      <w:r w:rsidR="009D5D8A" w:rsidRPr="00A87108">
        <w:rPr>
          <w:rFonts w:ascii="Cambria" w:eastAsia="Cambria" w:hAnsi="Cambria" w:cs="Cambria"/>
        </w:rPr>
        <w:t xml:space="preserve">the GHG experts team </w:t>
      </w:r>
      <w:r w:rsidRPr="00A87108">
        <w:rPr>
          <w:rFonts w:ascii="Cambria" w:eastAsia="Cambria" w:hAnsi="Cambria" w:cs="Cambria"/>
        </w:rPr>
        <w:t>if possible stakeholders in carbon sequestration techniques and modelling</w:t>
      </w:r>
    </w:p>
    <w:p w14:paraId="229304CC" w14:textId="77777777" w:rsidR="00D51B1D" w:rsidRDefault="00D51B1D" w:rsidP="00D51B1D">
      <w:pPr>
        <w:pStyle w:val="ListParagraph"/>
        <w:rPr>
          <w:rFonts w:ascii="Century Gothic" w:hAnsi="Century Gothic"/>
          <w:b/>
          <w:sz w:val="28"/>
          <w:szCs w:val="28"/>
        </w:rPr>
      </w:pPr>
    </w:p>
    <w:p w14:paraId="417458FE" w14:textId="77777777" w:rsidR="00D448BA" w:rsidRPr="00D448BA" w:rsidRDefault="00D448BA" w:rsidP="00D448BA">
      <w:pPr>
        <w:pStyle w:val="ListParagraph"/>
        <w:numPr>
          <w:ilvl w:val="0"/>
          <w:numId w:val="13"/>
        </w:numPr>
        <w:rPr>
          <w:rFonts w:ascii="Century Gothic" w:hAnsi="Century Gothic"/>
          <w:b/>
          <w:sz w:val="28"/>
          <w:szCs w:val="28"/>
        </w:rPr>
      </w:pPr>
      <w:r w:rsidRPr="00D448BA">
        <w:rPr>
          <w:rFonts w:ascii="Century Gothic" w:hAnsi="Century Gothic"/>
          <w:b/>
          <w:sz w:val="28"/>
          <w:szCs w:val="28"/>
        </w:rPr>
        <w:t>Deliverables</w:t>
      </w:r>
    </w:p>
    <w:p w14:paraId="5972257A" w14:textId="12783515" w:rsidR="00D448BA" w:rsidRDefault="00D448BA" w:rsidP="00556D4B">
      <w:pPr>
        <w:spacing w:after="120"/>
        <w:jc w:val="both"/>
      </w:pPr>
    </w:p>
    <w:p w14:paraId="756D0C42" w14:textId="77777777" w:rsidR="00470FC8" w:rsidRPr="005A460A" w:rsidRDefault="009D4A5E" w:rsidP="00556D4B">
      <w:pPr>
        <w:spacing w:after="120"/>
        <w:jc w:val="both"/>
        <w:rPr>
          <w:rFonts w:ascii="Cambria" w:eastAsia="Arial" w:hAnsi="Cambria"/>
        </w:rPr>
      </w:pPr>
      <w:r w:rsidRPr="005A460A">
        <w:rPr>
          <w:rFonts w:ascii="Cambria" w:eastAsia="Arial" w:hAnsi="Cambria"/>
        </w:rPr>
        <w:t>The consultan</w:t>
      </w:r>
      <w:r w:rsidR="00470FC8" w:rsidRPr="005A460A">
        <w:rPr>
          <w:rFonts w:ascii="Cambria" w:eastAsia="Arial" w:hAnsi="Cambria"/>
        </w:rPr>
        <w:t>t will provide the following outputs:</w:t>
      </w:r>
    </w:p>
    <w:p w14:paraId="2CE345E7" w14:textId="37FE9D7F" w:rsidR="00470FC8" w:rsidRPr="005A460A" w:rsidRDefault="00470FC8" w:rsidP="00556D4B">
      <w:pPr>
        <w:pStyle w:val="ListParagraph"/>
        <w:numPr>
          <w:ilvl w:val="0"/>
          <w:numId w:val="24"/>
        </w:numPr>
        <w:spacing w:after="120"/>
        <w:jc w:val="both"/>
        <w:rPr>
          <w:rFonts w:ascii="Cambria" w:hAnsi="Cambria"/>
        </w:rPr>
      </w:pPr>
      <w:r w:rsidRPr="005A460A">
        <w:rPr>
          <w:rFonts w:ascii="Cambria" w:eastAsia="Arial" w:hAnsi="Cambria"/>
        </w:rPr>
        <w:t>Work Plan</w:t>
      </w:r>
    </w:p>
    <w:p w14:paraId="0BE5CAC4" w14:textId="66D3EA12" w:rsidR="00470FC8" w:rsidRPr="005A460A" w:rsidRDefault="00A87108" w:rsidP="519A8BC1">
      <w:pPr>
        <w:pStyle w:val="ListParagraph"/>
        <w:numPr>
          <w:ilvl w:val="0"/>
          <w:numId w:val="24"/>
        </w:numPr>
        <w:spacing w:after="120"/>
        <w:jc w:val="both"/>
        <w:rPr>
          <w:rFonts w:ascii="Cambria" w:eastAsia="Cambria" w:hAnsi="Cambria" w:cs="Cambria"/>
        </w:rPr>
      </w:pPr>
      <w:r>
        <w:rPr>
          <w:rFonts w:ascii="Cambria" w:eastAsia="Cambria" w:hAnsi="Cambria" w:cs="Cambria"/>
        </w:rPr>
        <w:t>P</w:t>
      </w:r>
      <w:r w:rsidR="00216274">
        <w:rPr>
          <w:rFonts w:ascii="Cambria" w:eastAsia="Cambria" w:hAnsi="Cambria" w:cs="Cambria"/>
        </w:rPr>
        <w:t>eriodic</w:t>
      </w:r>
      <w:r w:rsidR="00216274" w:rsidRPr="519A8BC1">
        <w:rPr>
          <w:rFonts w:ascii="Cambria" w:eastAsia="Cambria" w:hAnsi="Cambria" w:cs="Cambria"/>
        </w:rPr>
        <w:t xml:space="preserve"> </w:t>
      </w:r>
      <w:r w:rsidR="519A8BC1" w:rsidRPr="519A8BC1">
        <w:rPr>
          <w:rFonts w:ascii="Cambria" w:eastAsia="Cambria" w:hAnsi="Cambria" w:cs="Cambria"/>
        </w:rPr>
        <w:t>Reports</w:t>
      </w:r>
    </w:p>
    <w:p w14:paraId="0BFC254C" w14:textId="48C0BE76" w:rsidR="00470FC8" w:rsidRPr="005A460A" w:rsidRDefault="519A8BC1" w:rsidP="519A8BC1">
      <w:pPr>
        <w:pStyle w:val="ListParagraph"/>
        <w:numPr>
          <w:ilvl w:val="0"/>
          <w:numId w:val="24"/>
        </w:numPr>
        <w:spacing w:after="120"/>
        <w:jc w:val="both"/>
        <w:rPr>
          <w:rFonts w:ascii="Cambria" w:eastAsia="Cambria" w:hAnsi="Cambria" w:cs="Cambria"/>
        </w:rPr>
      </w:pPr>
      <w:r w:rsidRPr="519A8BC1">
        <w:rPr>
          <w:rFonts w:ascii="Cambria" w:eastAsia="Cambria" w:hAnsi="Cambria" w:cs="Cambria"/>
        </w:rPr>
        <w:t>Final Report</w:t>
      </w:r>
    </w:p>
    <w:p w14:paraId="1803502B" w14:textId="7A3BC6A7" w:rsidR="519A8BC1" w:rsidRPr="00A87108" w:rsidRDefault="519A8BC1" w:rsidP="519A8BC1">
      <w:pPr>
        <w:pStyle w:val="ListParagraph"/>
        <w:numPr>
          <w:ilvl w:val="0"/>
          <w:numId w:val="24"/>
        </w:numPr>
        <w:spacing w:after="120"/>
        <w:jc w:val="both"/>
        <w:rPr>
          <w:rFonts w:ascii="Cambria" w:eastAsia="Cambria" w:hAnsi="Cambria" w:cs="Cambria"/>
        </w:rPr>
      </w:pPr>
      <w:r w:rsidRPr="00A87108">
        <w:rPr>
          <w:rFonts w:ascii="Cambria" w:eastAsia="Cambria" w:hAnsi="Cambria" w:cs="Cambria"/>
        </w:rPr>
        <w:t>Technical Report on Carbon Sequestration in the SMMA, Antigua</w:t>
      </w:r>
    </w:p>
    <w:p w14:paraId="5B53AD9F" w14:textId="73C91F51" w:rsidR="00D448BA" w:rsidRDefault="00D448BA" w:rsidP="00556D4B">
      <w:pPr>
        <w:spacing w:after="120"/>
        <w:jc w:val="both"/>
      </w:pPr>
    </w:p>
    <w:p w14:paraId="05C34A3C" w14:textId="77777777" w:rsidR="00BB108F" w:rsidRDefault="00BB108F" w:rsidP="00556D4B">
      <w:pPr>
        <w:spacing w:after="120"/>
        <w:jc w:val="both"/>
      </w:pPr>
    </w:p>
    <w:p w14:paraId="6B1CD604" w14:textId="7FDF8447" w:rsidR="00D448BA" w:rsidRPr="00D448BA" w:rsidRDefault="00470FC8" w:rsidP="00D448BA">
      <w:pPr>
        <w:pStyle w:val="ListParagraph"/>
        <w:numPr>
          <w:ilvl w:val="0"/>
          <w:numId w:val="13"/>
        </w:numPr>
        <w:rPr>
          <w:rFonts w:ascii="Century Gothic" w:hAnsi="Century Gothic"/>
          <w:b/>
          <w:sz w:val="28"/>
          <w:szCs w:val="28"/>
        </w:rPr>
      </w:pPr>
      <w:r>
        <w:rPr>
          <w:rFonts w:ascii="Century Gothic" w:hAnsi="Century Gothic"/>
          <w:b/>
          <w:sz w:val="28"/>
          <w:szCs w:val="28"/>
        </w:rPr>
        <w:t>R</w:t>
      </w:r>
      <w:r w:rsidR="00D448BA" w:rsidRPr="00D448BA">
        <w:rPr>
          <w:rFonts w:ascii="Century Gothic" w:hAnsi="Century Gothic"/>
          <w:b/>
          <w:sz w:val="28"/>
          <w:szCs w:val="28"/>
        </w:rPr>
        <w:t>eporting</w:t>
      </w:r>
      <w:r>
        <w:rPr>
          <w:rFonts w:ascii="Century Gothic" w:hAnsi="Century Gothic"/>
          <w:b/>
          <w:sz w:val="28"/>
          <w:szCs w:val="28"/>
        </w:rPr>
        <w:t xml:space="preserve"> Requirements</w:t>
      </w:r>
    </w:p>
    <w:p w14:paraId="78B5C66C" w14:textId="4C99D076" w:rsidR="00D448BA" w:rsidRDefault="00D448BA" w:rsidP="00556D4B">
      <w:pPr>
        <w:spacing w:after="120"/>
        <w:jc w:val="both"/>
      </w:pPr>
    </w:p>
    <w:p w14:paraId="22DB4326" w14:textId="6D32D51B" w:rsidR="00470FC8" w:rsidRPr="007353A5" w:rsidRDefault="00470FC8" w:rsidP="00470FC8">
      <w:pPr>
        <w:spacing w:after="120"/>
        <w:jc w:val="both"/>
      </w:pPr>
      <w:r>
        <w:t>Under</w:t>
      </w:r>
      <w:r w:rsidR="00E30A91">
        <w:t xml:space="preserve"> the general supervisio</w:t>
      </w:r>
      <w:r w:rsidR="00034DDE">
        <w:t xml:space="preserve">n of the Technical Coordinator - </w:t>
      </w:r>
      <w:r w:rsidR="00E30A91">
        <w:t>Helena Jeffery Brown</w:t>
      </w:r>
      <w:r w:rsidRPr="007353A5">
        <w:t xml:space="preserve">, the </w:t>
      </w:r>
      <w:r>
        <w:t xml:space="preserve">Consultant </w:t>
      </w:r>
      <w:r w:rsidRPr="007353A5">
        <w:t xml:space="preserve">will be contracted to </w:t>
      </w:r>
      <w:r>
        <w:t xml:space="preserve">undertake and complete the specified </w:t>
      </w:r>
      <w:r w:rsidRPr="007353A5">
        <w:t>activities</w:t>
      </w:r>
      <w:r>
        <w:t>, outlined in Section 3 – Scope of Work</w:t>
      </w:r>
      <w:r w:rsidRPr="007353A5">
        <w:t>.</w:t>
      </w:r>
    </w:p>
    <w:p w14:paraId="5CB5DE3C" w14:textId="4AC32E7A" w:rsidR="00470FC8" w:rsidRDefault="519A8BC1" w:rsidP="00556D4B">
      <w:pPr>
        <w:spacing w:after="120"/>
        <w:jc w:val="both"/>
      </w:pPr>
      <w:r>
        <w:t>Seven (7) working days after the contract or agreement has been signed by the consultant and the Department of Environment (DoE), the consultant will submit a detailed Work Plan, inclusive of timelines for the submission of monthly and final reports.</w:t>
      </w:r>
    </w:p>
    <w:p w14:paraId="10E29E70" w14:textId="14D20079" w:rsidR="519A8BC1" w:rsidRDefault="00E965EB" w:rsidP="519A8BC1">
      <w:pPr>
        <w:spacing w:after="120"/>
        <w:jc w:val="both"/>
      </w:pPr>
      <w:r w:rsidRPr="00A87108">
        <w:t xml:space="preserve">Periodic </w:t>
      </w:r>
      <w:r w:rsidR="519A8BC1" w:rsidRPr="00A87108">
        <w:t>reports on the progress</w:t>
      </w:r>
      <w:r>
        <w:t>, Milestones</w:t>
      </w:r>
      <w:r w:rsidR="519A8BC1" w:rsidRPr="00A87108">
        <w:t xml:space="preserve"> and challenges of this consultancy</w:t>
      </w:r>
      <w:r>
        <w:t xml:space="preserve"> are a condition of payment.  </w:t>
      </w:r>
      <w:r w:rsidR="519A8BC1" w:rsidRPr="00A87108">
        <w:t xml:space="preserve"> </w:t>
      </w:r>
    </w:p>
    <w:p w14:paraId="2BBDA119" w14:textId="10EA3C34" w:rsidR="00470FC8" w:rsidRDefault="519A8BC1" w:rsidP="00556D4B">
      <w:pPr>
        <w:spacing w:after="120"/>
        <w:jc w:val="both"/>
      </w:pPr>
      <w:r>
        <w:t xml:space="preserve">Within fifteen (15) working days of completing the specified scope of work, the consultant will prepare and submit to the DoE, a Final Report and a Technical Report. </w:t>
      </w:r>
    </w:p>
    <w:p w14:paraId="43DF243F" w14:textId="23587679" w:rsidR="00470FC8" w:rsidRDefault="00470FC8" w:rsidP="00556D4B">
      <w:pPr>
        <w:spacing w:after="120"/>
        <w:jc w:val="both"/>
      </w:pPr>
      <w:r w:rsidRPr="00972C98">
        <w:t xml:space="preserve">The Final Report should be submitted electronically </w:t>
      </w:r>
      <w:r w:rsidR="00F6398A">
        <w:t xml:space="preserve">Technical Coordinator - </w:t>
      </w:r>
      <w:r w:rsidR="00E30A91">
        <w:t>Helena Jeffery Brown</w:t>
      </w:r>
      <w:r w:rsidR="00E30A91" w:rsidRPr="00972C98">
        <w:t xml:space="preserve"> </w:t>
      </w:r>
      <w:r w:rsidRPr="00972C98">
        <w:t xml:space="preserve">in Microsoft Word. </w:t>
      </w:r>
      <w:r w:rsidRPr="00556D4B">
        <w:rPr>
          <w:b/>
        </w:rPr>
        <w:t xml:space="preserve">The Final Report should also be accompanied by a signed invoice in the amount claimed by the Consultant in </w:t>
      </w:r>
      <w:r w:rsidR="00A32D18" w:rsidRPr="00556D4B">
        <w:rPr>
          <w:b/>
        </w:rPr>
        <w:t>Eastern Caribbean Dollars</w:t>
      </w:r>
      <w:r w:rsidRPr="00A32D18">
        <w:rPr>
          <w:b/>
        </w:rPr>
        <w:t>.</w:t>
      </w:r>
      <w:r w:rsidRPr="00972C98">
        <w:t xml:space="preserve">  The invoice should include full banking instructions in order to facilitate wire transfer of funds by</w:t>
      </w:r>
      <w:r w:rsidR="00A32D18">
        <w:t xml:space="preserve"> DoE</w:t>
      </w:r>
      <w:r w:rsidRPr="00972C98">
        <w:t>.</w:t>
      </w:r>
    </w:p>
    <w:p w14:paraId="6D82A298" w14:textId="47A49D26" w:rsidR="00D448BA" w:rsidRDefault="00D448BA" w:rsidP="00556D4B">
      <w:pPr>
        <w:spacing w:after="120"/>
        <w:jc w:val="both"/>
      </w:pPr>
    </w:p>
    <w:p w14:paraId="6C4E3D96" w14:textId="187BFD77" w:rsidR="00D448BA" w:rsidRPr="00D448BA" w:rsidRDefault="008D276D" w:rsidP="00D448BA">
      <w:pPr>
        <w:pStyle w:val="ListParagraph"/>
        <w:numPr>
          <w:ilvl w:val="0"/>
          <w:numId w:val="13"/>
        </w:numPr>
        <w:rPr>
          <w:rFonts w:ascii="Century Gothic" w:hAnsi="Century Gothic"/>
          <w:b/>
          <w:sz w:val="28"/>
          <w:szCs w:val="28"/>
        </w:rPr>
      </w:pPr>
      <w:r>
        <w:rPr>
          <w:rFonts w:ascii="Century Gothic" w:hAnsi="Century Gothic"/>
          <w:b/>
          <w:sz w:val="28"/>
          <w:szCs w:val="28"/>
        </w:rPr>
        <w:t>Duration</w:t>
      </w:r>
    </w:p>
    <w:p w14:paraId="1713BAF0" w14:textId="14273A3F" w:rsidR="00D448BA" w:rsidRDefault="00D448BA" w:rsidP="00556D4B">
      <w:pPr>
        <w:spacing w:after="120"/>
        <w:jc w:val="both"/>
      </w:pPr>
    </w:p>
    <w:p w14:paraId="2713AC1F" w14:textId="75BBEEF6" w:rsidR="008D276D" w:rsidRDefault="519A8BC1" w:rsidP="008D276D">
      <w:pPr>
        <w:tabs>
          <w:tab w:val="left" w:pos="720"/>
        </w:tabs>
        <w:jc w:val="both"/>
      </w:pPr>
      <w:r>
        <w:t xml:space="preserve">The assignment should not exceed a total of </w:t>
      </w:r>
      <w:r w:rsidRPr="00A87108">
        <w:t>6 months</w:t>
      </w:r>
      <w:r>
        <w:t xml:space="preserve"> for the Consultant.</w:t>
      </w:r>
    </w:p>
    <w:p w14:paraId="3FF23D8E" w14:textId="77777777" w:rsidR="008D276D" w:rsidRDefault="008D276D" w:rsidP="00556D4B">
      <w:pPr>
        <w:spacing w:after="120"/>
        <w:jc w:val="both"/>
      </w:pPr>
    </w:p>
    <w:p w14:paraId="26B97019" w14:textId="2D19A718" w:rsidR="008D276D" w:rsidRPr="00D448BA" w:rsidRDefault="000304B5" w:rsidP="008D276D">
      <w:pPr>
        <w:pStyle w:val="ListParagraph"/>
        <w:numPr>
          <w:ilvl w:val="0"/>
          <w:numId w:val="13"/>
        </w:numPr>
        <w:rPr>
          <w:rFonts w:ascii="Century Gothic" w:hAnsi="Century Gothic"/>
          <w:b/>
          <w:sz w:val="28"/>
          <w:szCs w:val="28"/>
        </w:rPr>
      </w:pPr>
      <w:r>
        <w:rPr>
          <w:rFonts w:ascii="Century Gothic" w:hAnsi="Century Gothic"/>
          <w:b/>
          <w:sz w:val="28"/>
          <w:szCs w:val="28"/>
        </w:rPr>
        <w:t xml:space="preserve">Required </w:t>
      </w:r>
      <w:r w:rsidR="008D276D" w:rsidRPr="00D448BA">
        <w:rPr>
          <w:rFonts w:ascii="Century Gothic" w:hAnsi="Century Gothic"/>
          <w:b/>
          <w:sz w:val="28"/>
          <w:szCs w:val="28"/>
        </w:rPr>
        <w:t>Qualifications and Experience</w:t>
      </w:r>
    </w:p>
    <w:p w14:paraId="488C0C21" w14:textId="77777777" w:rsidR="00D448BA" w:rsidRDefault="00D448BA" w:rsidP="00556D4B">
      <w:pPr>
        <w:pStyle w:val="ListParagraph"/>
      </w:pPr>
    </w:p>
    <w:p w14:paraId="299F4E06" w14:textId="12B7D403" w:rsidR="005A460A" w:rsidRPr="00A87108" w:rsidRDefault="519A8BC1" w:rsidP="519A8BC1">
      <w:pPr>
        <w:pStyle w:val="ListParagraph"/>
        <w:numPr>
          <w:ilvl w:val="0"/>
          <w:numId w:val="27"/>
        </w:numPr>
      </w:pPr>
      <w:r w:rsidRPr="00A87108">
        <w:t xml:space="preserve">A first level university degree with knowledge of carbon flow monitoring, forestry or other related areas. Presently, doing a MSc Degree in carbon flow monitoring or related areas. </w:t>
      </w:r>
    </w:p>
    <w:p w14:paraId="4B4C8433" w14:textId="002723B3" w:rsidR="005A460A" w:rsidRPr="00A87108" w:rsidRDefault="005A460A" w:rsidP="005A460A">
      <w:pPr>
        <w:pStyle w:val="ListParagraph"/>
        <w:numPr>
          <w:ilvl w:val="0"/>
          <w:numId w:val="27"/>
        </w:numPr>
      </w:pPr>
      <w:r w:rsidRPr="00A87108">
        <w:t>Strong knowledge of carbon inventory and monitoring issues including international methodologies is required</w:t>
      </w:r>
    </w:p>
    <w:p w14:paraId="124F9C80" w14:textId="6129F659" w:rsidR="00762637" w:rsidRPr="00A87108" w:rsidRDefault="005A460A" w:rsidP="005A460A">
      <w:pPr>
        <w:pStyle w:val="ListParagraph"/>
        <w:numPr>
          <w:ilvl w:val="0"/>
          <w:numId w:val="27"/>
        </w:numPr>
      </w:pPr>
      <w:r w:rsidRPr="00A87108">
        <w:t xml:space="preserve">Knowledge of soil carbon sequestration </w:t>
      </w:r>
      <w:r w:rsidR="001B21E8" w:rsidRPr="00A87108">
        <w:t xml:space="preserve">internationally recognized </w:t>
      </w:r>
      <w:r w:rsidRPr="00A87108">
        <w:t>methodologies is required</w:t>
      </w:r>
    </w:p>
    <w:p w14:paraId="234C87E2" w14:textId="361BEFF5" w:rsidR="00762637" w:rsidRPr="00556D4B" w:rsidRDefault="00762637" w:rsidP="005A460A">
      <w:pPr>
        <w:pStyle w:val="ListParagraph"/>
        <w:numPr>
          <w:ilvl w:val="0"/>
          <w:numId w:val="27"/>
        </w:numPr>
        <w:tabs>
          <w:tab w:val="left" w:pos="720"/>
        </w:tabs>
        <w:jc w:val="both"/>
      </w:pPr>
      <w:r w:rsidRPr="00556D4B">
        <w:t xml:space="preserve">Excellent English Language skills. </w:t>
      </w:r>
    </w:p>
    <w:p w14:paraId="7DC40B27" w14:textId="77777777" w:rsidR="00664EF5" w:rsidRDefault="00664EF5" w:rsidP="005A460A">
      <w:pPr>
        <w:pStyle w:val="ListParagraph"/>
        <w:numPr>
          <w:ilvl w:val="0"/>
          <w:numId w:val="27"/>
        </w:numPr>
        <w:tabs>
          <w:tab w:val="left" w:pos="720"/>
        </w:tabs>
        <w:jc w:val="both"/>
      </w:pPr>
      <w:r>
        <w:t xml:space="preserve">Skills in writing reports </w:t>
      </w:r>
    </w:p>
    <w:p w14:paraId="566E3341" w14:textId="64ECCA1B" w:rsidR="00762637" w:rsidRPr="00556D4B" w:rsidRDefault="00762637" w:rsidP="005A460A">
      <w:pPr>
        <w:pStyle w:val="ListParagraph"/>
        <w:numPr>
          <w:ilvl w:val="0"/>
          <w:numId w:val="27"/>
        </w:numPr>
        <w:tabs>
          <w:tab w:val="left" w:pos="720"/>
        </w:tabs>
        <w:jc w:val="both"/>
      </w:pPr>
      <w:r w:rsidRPr="00556D4B">
        <w:t>Ability to identify strategic issues, opportunities and risks and communicate broad and compelling organizational direction;</w:t>
      </w:r>
    </w:p>
    <w:p w14:paraId="5CB11AA1" w14:textId="77777777" w:rsidR="00762637" w:rsidRPr="00556D4B" w:rsidRDefault="00762637" w:rsidP="005A460A">
      <w:pPr>
        <w:pStyle w:val="ListParagraph"/>
        <w:numPr>
          <w:ilvl w:val="0"/>
          <w:numId w:val="27"/>
        </w:numPr>
        <w:tabs>
          <w:tab w:val="left" w:pos="720"/>
        </w:tabs>
        <w:jc w:val="both"/>
      </w:pPr>
      <w:r w:rsidRPr="00556D4B">
        <w:t>Advanced MS Office skills</w:t>
      </w:r>
    </w:p>
    <w:p w14:paraId="6423902B" w14:textId="435EA128" w:rsidR="00D448BA" w:rsidRDefault="00D448BA" w:rsidP="00556D4B">
      <w:pPr>
        <w:spacing w:after="120"/>
        <w:jc w:val="both"/>
      </w:pPr>
    </w:p>
    <w:p w14:paraId="1C87D6AD" w14:textId="77777777" w:rsidR="00D448BA" w:rsidRDefault="00D448BA" w:rsidP="00D448BA">
      <w:pPr>
        <w:pStyle w:val="ListParagraph"/>
        <w:numPr>
          <w:ilvl w:val="0"/>
          <w:numId w:val="13"/>
        </w:numPr>
      </w:pPr>
      <w:r w:rsidRPr="00D448BA">
        <w:rPr>
          <w:rFonts w:ascii="Century Gothic" w:hAnsi="Century Gothic"/>
          <w:b/>
          <w:sz w:val="28"/>
          <w:szCs w:val="28"/>
        </w:rPr>
        <w:t>Evaluation Criteria</w:t>
      </w:r>
    </w:p>
    <w:p w14:paraId="205945B6" w14:textId="77777777" w:rsidR="00D448BA" w:rsidRDefault="00D448BA" w:rsidP="00556D4B">
      <w:pPr>
        <w:spacing w:after="120"/>
        <w:jc w:val="both"/>
      </w:pPr>
    </w:p>
    <w:p w14:paraId="6C6D52B5" w14:textId="77777777" w:rsidR="00556D4B" w:rsidRPr="006C4CF1" w:rsidRDefault="00556D4B" w:rsidP="00556D4B">
      <w:pPr>
        <w:spacing w:after="200" w:line="276" w:lineRule="auto"/>
      </w:pPr>
      <w:r w:rsidRPr="006C4CF1">
        <w:t xml:space="preserve">The evaluation criteria and weightings that will be applied to this </w:t>
      </w:r>
      <w:r>
        <w:t>TOR</w:t>
      </w:r>
      <w:r w:rsidRPr="006C4CF1">
        <w:t xml:space="preserve"> are as follows: </w:t>
      </w:r>
    </w:p>
    <w:tbl>
      <w:tblPr>
        <w:tblStyle w:val="TableGrid"/>
        <w:tblW w:w="0" w:type="auto"/>
        <w:tblLook w:val="04A0" w:firstRow="1" w:lastRow="0" w:firstColumn="1" w:lastColumn="0" w:noHBand="0" w:noVBand="1"/>
      </w:tblPr>
      <w:tblGrid>
        <w:gridCol w:w="1335"/>
        <w:gridCol w:w="5020"/>
        <w:gridCol w:w="2995"/>
      </w:tblGrid>
      <w:tr w:rsidR="00556D4B" w:rsidRPr="006C4CF1" w14:paraId="4C154957" w14:textId="77777777" w:rsidTr="00576B39">
        <w:trPr>
          <w:trHeight w:val="377"/>
        </w:trPr>
        <w:tc>
          <w:tcPr>
            <w:tcW w:w="1368" w:type="dxa"/>
          </w:tcPr>
          <w:p w14:paraId="390AD607" w14:textId="77777777" w:rsidR="00556D4B" w:rsidRPr="006C4CF1" w:rsidRDefault="00556D4B" w:rsidP="00576B39">
            <w:pPr>
              <w:rPr>
                <w:b/>
              </w:rPr>
            </w:pPr>
            <w:r w:rsidRPr="006C4CF1">
              <w:rPr>
                <w:b/>
              </w:rPr>
              <w:t>Category</w:t>
            </w:r>
          </w:p>
        </w:tc>
        <w:tc>
          <w:tcPr>
            <w:tcW w:w="5400" w:type="dxa"/>
          </w:tcPr>
          <w:p w14:paraId="6FC19026" w14:textId="77777777" w:rsidR="00556D4B" w:rsidRPr="006C4CF1" w:rsidRDefault="00556D4B" w:rsidP="00576B39">
            <w:pPr>
              <w:rPr>
                <w:b/>
              </w:rPr>
            </w:pPr>
            <w:r w:rsidRPr="006C4CF1">
              <w:rPr>
                <w:b/>
              </w:rPr>
              <w:t>Description</w:t>
            </w:r>
          </w:p>
        </w:tc>
        <w:tc>
          <w:tcPr>
            <w:tcW w:w="3194" w:type="dxa"/>
          </w:tcPr>
          <w:p w14:paraId="6FC3F830" w14:textId="77777777" w:rsidR="00556D4B" w:rsidRPr="006C4CF1" w:rsidRDefault="00556D4B" w:rsidP="00576B39">
            <w:pPr>
              <w:rPr>
                <w:b/>
              </w:rPr>
            </w:pPr>
            <w:r w:rsidRPr="006C4CF1">
              <w:rPr>
                <w:b/>
              </w:rPr>
              <w:t>Weighting</w:t>
            </w:r>
          </w:p>
        </w:tc>
      </w:tr>
      <w:tr w:rsidR="00556D4B" w:rsidRPr="006C4CF1" w14:paraId="1D9F5C51" w14:textId="77777777" w:rsidTr="00576B39">
        <w:tc>
          <w:tcPr>
            <w:tcW w:w="1368" w:type="dxa"/>
          </w:tcPr>
          <w:p w14:paraId="67AB6AD7" w14:textId="77777777" w:rsidR="00556D4B" w:rsidRPr="006C4CF1" w:rsidRDefault="00556D4B" w:rsidP="00576B39">
            <w:pPr>
              <w:jc w:val="center"/>
            </w:pPr>
            <w:r w:rsidRPr="006C4CF1">
              <w:t>1</w:t>
            </w:r>
          </w:p>
        </w:tc>
        <w:tc>
          <w:tcPr>
            <w:tcW w:w="5400" w:type="dxa"/>
          </w:tcPr>
          <w:p w14:paraId="362EAAF3" w14:textId="77777777" w:rsidR="00556D4B" w:rsidRPr="006C4CF1" w:rsidRDefault="00556D4B" w:rsidP="00576B39">
            <w:r w:rsidRPr="006C4CF1">
              <w:t xml:space="preserve">Qualifications of consultant and availability of named individuals including national experts </w:t>
            </w:r>
          </w:p>
        </w:tc>
        <w:tc>
          <w:tcPr>
            <w:tcW w:w="3194" w:type="dxa"/>
          </w:tcPr>
          <w:p w14:paraId="3760F4E2" w14:textId="79508C86" w:rsidR="00556D4B" w:rsidRPr="006C4CF1" w:rsidRDefault="00743FB8" w:rsidP="00576B39">
            <w:pPr>
              <w:jc w:val="center"/>
            </w:pPr>
            <w:r>
              <w:t>25</w:t>
            </w:r>
          </w:p>
        </w:tc>
        <w:bookmarkStart w:id="0" w:name="_GoBack"/>
        <w:bookmarkEnd w:id="0"/>
      </w:tr>
      <w:tr w:rsidR="00556D4B" w:rsidRPr="006C4CF1" w14:paraId="1D308A4D" w14:textId="77777777" w:rsidTr="00576B39">
        <w:tc>
          <w:tcPr>
            <w:tcW w:w="1368" w:type="dxa"/>
          </w:tcPr>
          <w:p w14:paraId="05A55D94" w14:textId="77777777" w:rsidR="00556D4B" w:rsidRPr="006C4CF1" w:rsidRDefault="00556D4B" w:rsidP="00576B39">
            <w:pPr>
              <w:jc w:val="center"/>
            </w:pPr>
            <w:r w:rsidRPr="006C4CF1">
              <w:lastRenderedPageBreak/>
              <w:t>2</w:t>
            </w:r>
          </w:p>
        </w:tc>
        <w:tc>
          <w:tcPr>
            <w:tcW w:w="5400" w:type="dxa"/>
          </w:tcPr>
          <w:p w14:paraId="3403BB8D" w14:textId="77777777" w:rsidR="00556D4B" w:rsidRPr="006C4CF1" w:rsidRDefault="00556D4B" w:rsidP="00576B39">
            <w:r w:rsidRPr="006C4CF1">
              <w:t xml:space="preserve">Adherence to TOR specifications and related requirements: Clear understanding of required deliverables </w:t>
            </w:r>
          </w:p>
        </w:tc>
        <w:tc>
          <w:tcPr>
            <w:tcW w:w="3194" w:type="dxa"/>
          </w:tcPr>
          <w:p w14:paraId="0E3EE053" w14:textId="222BE8F1" w:rsidR="00556D4B" w:rsidRPr="006C4CF1" w:rsidRDefault="00743FB8" w:rsidP="00576B39">
            <w:pPr>
              <w:jc w:val="center"/>
            </w:pPr>
            <w:r>
              <w:t>35</w:t>
            </w:r>
          </w:p>
        </w:tc>
      </w:tr>
      <w:tr w:rsidR="00556D4B" w:rsidRPr="006C4CF1" w14:paraId="24706BFB" w14:textId="77777777" w:rsidTr="00576B39">
        <w:tc>
          <w:tcPr>
            <w:tcW w:w="1368" w:type="dxa"/>
          </w:tcPr>
          <w:p w14:paraId="6A365DA6" w14:textId="77777777" w:rsidR="00556D4B" w:rsidRPr="006C4CF1" w:rsidRDefault="00556D4B" w:rsidP="00576B39">
            <w:pPr>
              <w:jc w:val="center"/>
            </w:pPr>
            <w:r w:rsidRPr="006C4CF1">
              <w:t>3</w:t>
            </w:r>
          </w:p>
        </w:tc>
        <w:tc>
          <w:tcPr>
            <w:tcW w:w="5400" w:type="dxa"/>
          </w:tcPr>
          <w:p w14:paraId="42B3938E" w14:textId="77777777" w:rsidR="00556D4B" w:rsidRPr="006C4CF1" w:rsidRDefault="00556D4B" w:rsidP="00576B39">
            <w:r w:rsidRPr="006C4CF1">
              <w:t xml:space="preserve">Experience with similar work </w:t>
            </w:r>
          </w:p>
        </w:tc>
        <w:tc>
          <w:tcPr>
            <w:tcW w:w="3194" w:type="dxa"/>
          </w:tcPr>
          <w:p w14:paraId="7E3077CA" w14:textId="09942D8F" w:rsidR="00556D4B" w:rsidRPr="006C4CF1" w:rsidRDefault="00743FB8">
            <w:pPr>
              <w:jc w:val="center"/>
            </w:pPr>
            <w:r w:rsidRPr="006C4CF1">
              <w:t>2</w:t>
            </w:r>
            <w:r>
              <w:t>5</w:t>
            </w:r>
          </w:p>
        </w:tc>
      </w:tr>
      <w:tr w:rsidR="00556D4B" w:rsidRPr="006C4CF1" w14:paraId="72E248AF" w14:textId="77777777" w:rsidTr="00576B39">
        <w:tc>
          <w:tcPr>
            <w:tcW w:w="1368" w:type="dxa"/>
          </w:tcPr>
          <w:p w14:paraId="07EB4FBB" w14:textId="77777777" w:rsidR="00556D4B" w:rsidRPr="006C4CF1" w:rsidRDefault="00556D4B" w:rsidP="00576B39">
            <w:pPr>
              <w:jc w:val="center"/>
            </w:pPr>
            <w:r w:rsidRPr="006C4CF1">
              <w:t>4</w:t>
            </w:r>
          </w:p>
        </w:tc>
        <w:tc>
          <w:tcPr>
            <w:tcW w:w="5400" w:type="dxa"/>
          </w:tcPr>
          <w:p w14:paraId="695E80B6" w14:textId="77777777" w:rsidR="00556D4B" w:rsidRPr="006C4CF1" w:rsidRDefault="00556D4B" w:rsidP="00576B39">
            <w:r w:rsidRPr="006C4CF1">
              <w:t>Demonstrated track record of success, supported by references</w:t>
            </w:r>
          </w:p>
        </w:tc>
        <w:tc>
          <w:tcPr>
            <w:tcW w:w="3194" w:type="dxa"/>
          </w:tcPr>
          <w:p w14:paraId="697CC6C4" w14:textId="14A48FC8" w:rsidR="00556D4B" w:rsidRPr="006C4CF1" w:rsidRDefault="00743FB8" w:rsidP="00576B39">
            <w:pPr>
              <w:jc w:val="center"/>
            </w:pPr>
            <w:r>
              <w:t>15</w:t>
            </w:r>
          </w:p>
        </w:tc>
      </w:tr>
      <w:tr w:rsidR="00556D4B" w:rsidRPr="006C4CF1" w14:paraId="65EEA21E" w14:textId="77777777" w:rsidTr="00576B39">
        <w:tc>
          <w:tcPr>
            <w:tcW w:w="1368" w:type="dxa"/>
          </w:tcPr>
          <w:p w14:paraId="6E0B4899" w14:textId="77777777" w:rsidR="00556D4B" w:rsidRPr="006C4CF1" w:rsidRDefault="00556D4B" w:rsidP="00576B39">
            <w:pPr>
              <w:spacing w:before="100" w:beforeAutospacing="1" w:afterAutospacing="1"/>
            </w:pPr>
          </w:p>
        </w:tc>
        <w:tc>
          <w:tcPr>
            <w:tcW w:w="5400" w:type="dxa"/>
          </w:tcPr>
          <w:p w14:paraId="41ED0C7E" w14:textId="77777777" w:rsidR="00556D4B" w:rsidRPr="006C4CF1" w:rsidRDefault="00556D4B" w:rsidP="00576B39">
            <w:pPr>
              <w:jc w:val="right"/>
            </w:pPr>
            <w:r w:rsidRPr="006C4CF1">
              <w:t>Total</w:t>
            </w:r>
          </w:p>
        </w:tc>
        <w:tc>
          <w:tcPr>
            <w:tcW w:w="3194" w:type="dxa"/>
          </w:tcPr>
          <w:p w14:paraId="3E0521CE" w14:textId="77777777" w:rsidR="00556D4B" w:rsidRPr="006C4CF1" w:rsidRDefault="00556D4B" w:rsidP="00576B39">
            <w:pPr>
              <w:jc w:val="center"/>
            </w:pPr>
            <w:r w:rsidRPr="006C4CF1">
              <w:t>100</w:t>
            </w:r>
          </w:p>
        </w:tc>
      </w:tr>
    </w:tbl>
    <w:p w14:paraId="437EA83A" w14:textId="1DCBD700" w:rsidR="00EE6684" w:rsidRDefault="00EE6684" w:rsidP="00556D4B">
      <w:pPr>
        <w:spacing w:after="120"/>
        <w:jc w:val="both"/>
      </w:pPr>
    </w:p>
    <w:sectPr w:rsidR="00EE6684" w:rsidSect="0042089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0BB63" w14:textId="77777777" w:rsidR="00CD6026" w:rsidRDefault="00CD6026" w:rsidP="003A7A6F">
      <w:r>
        <w:separator/>
      </w:r>
    </w:p>
  </w:endnote>
  <w:endnote w:type="continuationSeparator" w:id="0">
    <w:p w14:paraId="02B921E4" w14:textId="77777777" w:rsidR="00CD6026" w:rsidRDefault="00CD6026" w:rsidP="003A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Arial">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0915" w14:textId="77777777" w:rsidR="004530DF" w:rsidRDefault="004530D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3F88" w14:textId="77777777" w:rsidR="004530DF" w:rsidRDefault="004530DF" w:rsidP="003A7A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9B7B" w14:textId="0DEB4023" w:rsidR="004530DF" w:rsidRDefault="004530D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33A">
      <w:rPr>
        <w:rStyle w:val="PageNumber"/>
        <w:noProof/>
      </w:rPr>
      <w:t>6</w:t>
    </w:r>
    <w:r>
      <w:rPr>
        <w:rStyle w:val="PageNumber"/>
      </w:rPr>
      <w:fldChar w:fldCharType="end"/>
    </w:r>
  </w:p>
  <w:p w14:paraId="069545B3" w14:textId="77777777" w:rsidR="004530DF" w:rsidRDefault="004530DF" w:rsidP="003A7A6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111B" w14:textId="77777777" w:rsidR="00CD6026" w:rsidRDefault="00CD6026" w:rsidP="003A7A6F">
      <w:r>
        <w:separator/>
      </w:r>
    </w:p>
  </w:footnote>
  <w:footnote w:type="continuationSeparator" w:id="0">
    <w:p w14:paraId="17FEC5DD" w14:textId="77777777" w:rsidR="00CD6026" w:rsidRDefault="00CD6026" w:rsidP="003A7A6F">
      <w:r>
        <w:continuationSeparator/>
      </w:r>
    </w:p>
  </w:footnote>
  <w:footnote w:id="1">
    <w:p w14:paraId="067BED08" w14:textId="77777777" w:rsidR="00446625" w:rsidRPr="00F1193B" w:rsidRDefault="00446625" w:rsidP="00446625">
      <w:pPr>
        <w:pStyle w:val="FootnoteText"/>
        <w:rPr>
          <w:sz w:val="16"/>
          <w:szCs w:val="16"/>
        </w:rPr>
      </w:pPr>
      <w:r w:rsidRPr="00F1193B">
        <w:rPr>
          <w:rStyle w:val="FootnoteReference"/>
          <w:sz w:val="16"/>
          <w:szCs w:val="16"/>
        </w:rPr>
        <w:footnoteRef/>
      </w:r>
      <w:r w:rsidRPr="00F1193B">
        <w:rPr>
          <w:sz w:val="16"/>
          <w:szCs w:val="16"/>
        </w:rPr>
        <w:t xml:space="preserve"> Source: Lindsay et al. 2011. </w:t>
      </w:r>
      <w:r w:rsidRPr="00F1193B">
        <w:rPr>
          <w:i/>
          <w:sz w:val="16"/>
          <w:szCs w:val="16"/>
        </w:rPr>
        <w:t>Terrestrial Field Characteristics and Assessments</w:t>
      </w:r>
      <w:r w:rsidRPr="00F1193B">
        <w:rPr>
          <w:sz w:val="16"/>
          <w:szCs w:val="16"/>
        </w:rPr>
        <w:t>. Island Resource Foundation</w:t>
      </w:r>
    </w:p>
  </w:footnote>
  <w:footnote w:id="2">
    <w:p w14:paraId="5B410D18" w14:textId="77777777" w:rsidR="00446625" w:rsidRPr="00F1193B" w:rsidRDefault="00446625" w:rsidP="00446625">
      <w:pPr>
        <w:pStyle w:val="FootnoteText"/>
        <w:rPr>
          <w:sz w:val="16"/>
          <w:szCs w:val="16"/>
        </w:rPr>
      </w:pPr>
      <w:r w:rsidRPr="00F1193B">
        <w:rPr>
          <w:rStyle w:val="FootnoteReference"/>
          <w:sz w:val="16"/>
          <w:szCs w:val="16"/>
        </w:rPr>
        <w:footnoteRef/>
      </w:r>
      <w:r w:rsidRPr="00F1193B">
        <w:rPr>
          <w:sz w:val="16"/>
          <w:szCs w:val="16"/>
        </w:rPr>
        <w:t xml:space="preserve"> </w:t>
      </w:r>
      <w:hyperlink r:id="rId1" w:history="1">
        <w:r w:rsidRPr="00F1193B">
          <w:rPr>
            <w:rStyle w:val="Hyperlink"/>
            <w:sz w:val="16"/>
            <w:szCs w:val="16"/>
          </w:rPr>
          <w:t>http://datazone.birdlife.org/site/factsheet/20875</w:t>
        </w:r>
      </w:hyperlink>
      <w:r w:rsidRPr="00F1193B">
        <w:rPr>
          <w:sz w:val="16"/>
          <w:szCs w:val="16"/>
        </w:rPr>
        <w:t xml:space="preserve"> </w:t>
      </w:r>
    </w:p>
  </w:footnote>
  <w:footnote w:id="3">
    <w:p w14:paraId="69A02C9B" w14:textId="77777777" w:rsidR="00446625" w:rsidRPr="00F1193B" w:rsidRDefault="00446625" w:rsidP="00446625">
      <w:pPr>
        <w:pStyle w:val="FootnoteText"/>
        <w:rPr>
          <w:sz w:val="16"/>
          <w:szCs w:val="16"/>
        </w:rPr>
      </w:pPr>
      <w:r w:rsidRPr="00F1193B">
        <w:rPr>
          <w:rStyle w:val="FootnoteReference"/>
          <w:sz w:val="16"/>
          <w:szCs w:val="16"/>
        </w:rPr>
        <w:footnoteRef/>
      </w:r>
      <w:r w:rsidRPr="00F1193B">
        <w:rPr>
          <w:sz w:val="16"/>
          <w:szCs w:val="16"/>
        </w:rPr>
        <w:t xml:space="preserve"> http://datazone.birdlife.org/site/factsheet/20750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C54"/>
    <w:multiLevelType w:val="hybridMultilevel"/>
    <w:tmpl w:val="CF66139C"/>
    <w:lvl w:ilvl="0" w:tplc="6EF63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07D"/>
    <w:multiLevelType w:val="hybridMultilevel"/>
    <w:tmpl w:val="21B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3CD2"/>
    <w:multiLevelType w:val="hybridMultilevel"/>
    <w:tmpl w:val="A03215E4"/>
    <w:lvl w:ilvl="0" w:tplc="893E7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014DC"/>
    <w:multiLevelType w:val="hybridMultilevel"/>
    <w:tmpl w:val="E868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633F5"/>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B7B7A"/>
    <w:multiLevelType w:val="hybridMultilevel"/>
    <w:tmpl w:val="717AED7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80E048C"/>
    <w:multiLevelType w:val="hybridMultilevel"/>
    <w:tmpl w:val="5ED8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52B82"/>
    <w:multiLevelType w:val="hybridMultilevel"/>
    <w:tmpl w:val="3BD007C4"/>
    <w:lvl w:ilvl="0" w:tplc="29E48678">
      <w:start w:val="1"/>
      <w:numFmt w:val="upperRoman"/>
      <w:lvlText w:val="%1."/>
      <w:lvlJc w:val="left"/>
      <w:pPr>
        <w:ind w:left="720" w:hanging="720"/>
      </w:pPr>
      <w:rPr>
        <w:rFonts w:ascii="Century Gothic" w:hAnsi="Century Gothic" w:hint="default"/>
        <w:b/>
        <w:sz w:val="28"/>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1E440F"/>
    <w:multiLevelType w:val="hybridMultilevel"/>
    <w:tmpl w:val="59FC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7CB1"/>
    <w:multiLevelType w:val="hybridMultilevel"/>
    <w:tmpl w:val="6E4A7AF8"/>
    <w:lvl w:ilvl="0" w:tplc="BDF4EE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787468"/>
    <w:multiLevelType w:val="hybridMultilevel"/>
    <w:tmpl w:val="30E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C70CF"/>
    <w:multiLevelType w:val="hybridMultilevel"/>
    <w:tmpl w:val="E8BE6098"/>
    <w:lvl w:ilvl="0" w:tplc="7B226D7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B53AB"/>
    <w:multiLevelType w:val="hybridMultilevel"/>
    <w:tmpl w:val="186C5184"/>
    <w:lvl w:ilvl="0" w:tplc="2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B677B7"/>
    <w:multiLevelType w:val="hybridMultilevel"/>
    <w:tmpl w:val="02E8E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7622A"/>
    <w:multiLevelType w:val="hybridMultilevel"/>
    <w:tmpl w:val="3D2AF19A"/>
    <w:lvl w:ilvl="0" w:tplc="04090019">
      <w:start w:val="9"/>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0AB181A"/>
    <w:multiLevelType w:val="hybridMultilevel"/>
    <w:tmpl w:val="EE7E038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37887"/>
    <w:multiLevelType w:val="hybridMultilevel"/>
    <w:tmpl w:val="145A48E2"/>
    <w:lvl w:ilvl="0" w:tplc="AC32A20A">
      <w:start w:val="2"/>
      <w:numFmt w:val="bullet"/>
      <w:lvlText w:val="•"/>
      <w:lvlJc w:val="left"/>
      <w:pPr>
        <w:ind w:left="1130" w:hanging="720"/>
      </w:pPr>
      <w:rPr>
        <w:rFonts w:ascii="Cambria" w:eastAsia="Calibri" w:hAnsi="Cambria"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8D0292E"/>
    <w:multiLevelType w:val="hybridMultilevel"/>
    <w:tmpl w:val="1F80CA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822062"/>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B7C17"/>
    <w:multiLevelType w:val="hybridMultilevel"/>
    <w:tmpl w:val="8C7C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C20A07"/>
    <w:multiLevelType w:val="hybridMultilevel"/>
    <w:tmpl w:val="C00C4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98E533C"/>
    <w:multiLevelType w:val="hybridMultilevel"/>
    <w:tmpl w:val="AD588BE2"/>
    <w:lvl w:ilvl="0" w:tplc="6EF63670">
      <w:start w:val="1"/>
      <w:numFmt w:val="upperRoman"/>
      <w:lvlText w:val="%1."/>
      <w:lvlJc w:val="left"/>
      <w:pPr>
        <w:ind w:left="1080" w:hanging="720"/>
      </w:pPr>
      <w:rPr>
        <w:rFonts w:hint="default"/>
      </w:rPr>
    </w:lvl>
    <w:lvl w:ilvl="1" w:tplc="EFAE938E">
      <w:start w:val="1"/>
      <w:numFmt w:val="decimal"/>
      <w:lvlText w:val="%2."/>
      <w:lvlJc w:val="left"/>
      <w:pPr>
        <w:ind w:left="108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5634C"/>
    <w:multiLevelType w:val="hybridMultilevel"/>
    <w:tmpl w:val="374833A8"/>
    <w:lvl w:ilvl="0" w:tplc="9D40239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C7702"/>
    <w:multiLevelType w:val="hybridMultilevel"/>
    <w:tmpl w:val="8FF0884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4" w15:restartNumberingAfterBreak="0">
    <w:nsid w:val="656811A4"/>
    <w:multiLevelType w:val="hybridMultilevel"/>
    <w:tmpl w:val="AFC8F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424BFC"/>
    <w:multiLevelType w:val="hybridMultilevel"/>
    <w:tmpl w:val="7D3E4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5701D"/>
    <w:multiLevelType w:val="hybridMultilevel"/>
    <w:tmpl w:val="BCC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644FF"/>
    <w:multiLevelType w:val="hybridMultilevel"/>
    <w:tmpl w:val="5252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9"/>
  </w:num>
  <w:num w:numId="4">
    <w:abstractNumId w:val="0"/>
  </w:num>
  <w:num w:numId="5">
    <w:abstractNumId w:val="16"/>
  </w:num>
  <w:num w:numId="6">
    <w:abstractNumId w:val="17"/>
  </w:num>
  <w:num w:numId="7">
    <w:abstractNumId w:val="22"/>
  </w:num>
  <w:num w:numId="8">
    <w:abstractNumId w:val="23"/>
  </w:num>
  <w:num w:numId="9">
    <w:abstractNumId w:val="27"/>
  </w:num>
  <w:num w:numId="10">
    <w:abstractNumId w:val="21"/>
  </w:num>
  <w:num w:numId="11">
    <w:abstractNumId w:val="4"/>
  </w:num>
  <w:num w:numId="12">
    <w:abstractNumId w:val="2"/>
  </w:num>
  <w:num w:numId="13">
    <w:abstractNumId w:val="7"/>
  </w:num>
  <w:num w:numId="14">
    <w:abstractNumId w:val="14"/>
  </w:num>
  <w:num w:numId="15">
    <w:abstractNumId w:val="26"/>
  </w:num>
  <w:num w:numId="16">
    <w:abstractNumId w:val="10"/>
  </w:num>
  <w:num w:numId="17">
    <w:abstractNumId w:val="11"/>
  </w:num>
  <w:num w:numId="18">
    <w:abstractNumId w:val="6"/>
  </w:num>
  <w:num w:numId="19">
    <w:abstractNumId w:val="3"/>
  </w:num>
  <w:num w:numId="20">
    <w:abstractNumId w:val="15"/>
  </w:num>
  <w:num w:numId="21">
    <w:abstractNumId w:val="25"/>
  </w:num>
  <w:num w:numId="22">
    <w:abstractNumId w:val="20"/>
  </w:num>
  <w:num w:numId="23">
    <w:abstractNumId w:val="5"/>
  </w:num>
  <w:num w:numId="24">
    <w:abstractNumId w:val="13"/>
  </w:num>
  <w:num w:numId="25">
    <w:abstractNumId w:val="12"/>
  </w:num>
  <w:num w:numId="26">
    <w:abstractNumId w:val="19"/>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93"/>
    <w:rsid w:val="00004177"/>
    <w:rsid w:val="00021623"/>
    <w:rsid w:val="00021699"/>
    <w:rsid w:val="000304B5"/>
    <w:rsid w:val="00033BBD"/>
    <w:rsid w:val="00034DDE"/>
    <w:rsid w:val="00043A51"/>
    <w:rsid w:val="000920AE"/>
    <w:rsid w:val="000925C2"/>
    <w:rsid w:val="000976B9"/>
    <w:rsid w:val="0009774B"/>
    <w:rsid w:val="000A3C04"/>
    <w:rsid w:val="000E7546"/>
    <w:rsid w:val="000F3FA7"/>
    <w:rsid w:val="000F4BD8"/>
    <w:rsid w:val="001259E5"/>
    <w:rsid w:val="00127107"/>
    <w:rsid w:val="00145D0D"/>
    <w:rsid w:val="001564C5"/>
    <w:rsid w:val="00172CCD"/>
    <w:rsid w:val="0018108C"/>
    <w:rsid w:val="00197CEB"/>
    <w:rsid w:val="001B21E8"/>
    <w:rsid w:val="001B3288"/>
    <w:rsid w:val="001B3A76"/>
    <w:rsid w:val="001C72C1"/>
    <w:rsid w:val="001D3E3D"/>
    <w:rsid w:val="001D4885"/>
    <w:rsid w:val="001D5CE4"/>
    <w:rsid w:val="001D6EA9"/>
    <w:rsid w:val="001F1381"/>
    <w:rsid w:val="00202910"/>
    <w:rsid w:val="00202D7A"/>
    <w:rsid w:val="002124B3"/>
    <w:rsid w:val="002140ED"/>
    <w:rsid w:val="00216274"/>
    <w:rsid w:val="00223A4E"/>
    <w:rsid w:val="00224D7C"/>
    <w:rsid w:val="00226E72"/>
    <w:rsid w:val="0024192E"/>
    <w:rsid w:val="002435E8"/>
    <w:rsid w:val="00266293"/>
    <w:rsid w:val="002803CD"/>
    <w:rsid w:val="0028729D"/>
    <w:rsid w:val="00297B9F"/>
    <w:rsid w:val="002C0ADE"/>
    <w:rsid w:val="002C6280"/>
    <w:rsid w:val="002D38D0"/>
    <w:rsid w:val="002D7026"/>
    <w:rsid w:val="002E0EA6"/>
    <w:rsid w:val="002E165A"/>
    <w:rsid w:val="002E373F"/>
    <w:rsid w:val="002F4C75"/>
    <w:rsid w:val="00303DF7"/>
    <w:rsid w:val="00305923"/>
    <w:rsid w:val="00315692"/>
    <w:rsid w:val="00315B87"/>
    <w:rsid w:val="00322012"/>
    <w:rsid w:val="00337363"/>
    <w:rsid w:val="003377EF"/>
    <w:rsid w:val="00351504"/>
    <w:rsid w:val="00354055"/>
    <w:rsid w:val="00357862"/>
    <w:rsid w:val="003A3DBA"/>
    <w:rsid w:val="003A53FC"/>
    <w:rsid w:val="003A5726"/>
    <w:rsid w:val="003A66BF"/>
    <w:rsid w:val="003A7231"/>
    <w:rsid w:val="003A7A6F"/>
    <w:rsid w:val="003B335F"/>
    <w:rsid w:val="003C6CF8"/>
    <w:rsid w:val="003C6EF2"/>
    <w:rsid w:val="003D124E"/>
    <w:rsid w:val="003D28AA"/>
    <w:rsid w:val="003D7232"/>
    <w:rsid w:val="003F6F8E"/>
    <w:rsid w:val="00400414"/>
    <w:rsid w:val="00402B85"/>
    <w:rsid w:val="004133B0"/>
    <w:rsid w:val="00420892"/>
    <w:rsid w:val="004318E4"/>
    <w:rsid w:val="00446625"/>
    <w:rsid w:val="00450C1E"/>
    <w:rsid w:val="004530DF"/>
    <w:rsid w:val="00453DFD"/>
    <w:rsid w:val="00470F6E"/>
    <w:rsid w:val="00470FC8"/>
    <w:rsid w:val="00473C37"/>
    <w:rsid w:val="004760A2"/>
    <w:rsid w:val="00482EA2"/>
    <w:rsid w:val="004859F1"/>
    <w:rsid w:val="00493474"/>
    <w:rsid w:val="004940DD"/>
    <w:rsid w:val="004A71DA"/>
    <w:rsid w:val="004B35B8"/>
    <w:rsid w:val="004C516C"/>
    <w:rsid w:val="004E5D28"/>
    <w:rsid w:val="004F6E80"/>
    <w:rsid w:val="00503B2B"/>
    <w:rsid w:val="005076EF"/>
    <w:rsid w:val="00513557"/>
    <w:rsid w:val="00522A1B"/>
    <w:rsid w:val="00550CD6"/>
    <w:rsid w:val="00556D4B"/>
    <w:rsid w:val="00577A84"/>
    <w:rsid w:val="0058444E"/>
    <w:rsid w:val="00596A6C"/>
    <w:rsid w:val="00597894"/>
    <w:rsid w:val="005A460A"/>
    <w:rsid w:val="005C35A9"/>
    <w:rsid w:val="005D0ACB"/>
    <w:rsid w:val="005E7EB0"/>
    <w:rsid w:val="006040D4"/>
    <w:rsid w:val="006068B0"/>
    <w:rsid w:val="00612D27"/>
    <w:rsid w:val="00616CC8"/>
    <w:rsid w:val="00620CA8"/>
    <w:rsid w:val="00630544"/>
    <w:rsid w:val="00641CE4"/>
    <w:rsid w:val="00662298"/>
    <w:rsid w:val="00662B48"/>
    <w:rsid w:val="00663B65"/>
    <w:rsid w:val="00664EF5"/>
    <w:rsid w:val="00686BF2"/>
    <w:rsid w:val="00691B17"/>
    <w:rsid w:val="006A3B96"/>
    <w:rsid w:val="006A4146"/>
    <w:rsid w:val="006B4A40"/>
    <w:rsid w:val="006B57AF"/>
    <w:rsid w:val="006C4988"/>
    <w:rsid w:val="006F2265"/>
    <w:rsid w:val="00720F0E"/>
    <w:rsid w:val="007221CC"/>
    <w:rsid w:val="00743FB8"/>
    <w:rsid w:val="00762637"/>
    <w:rsid w:val="00765CD0"/>
    <w:rsid w:val="00765DB7"/>
    <w:rsid w:val="00772569"/>
    <w:rsid w:val="0078766B"/>
    <w:rsid w:val="007974E2"/>
    <w:rsid w:val="007A2EC7"/>
    <w:rsid w:val="007A4223"/>
    <w:rsid w:val="007A5C58"/>
    <w:rsid w:val="007A5C7A"/>
    <w:rsid w:val="007A7AB9"/>
    <w:rsid w:val="007C04FD"/>
    <w:rsid w:val="007C53A3"/>
    <w:rsid w:val="007C54E0"/>
    <w:rsid w:val="007D04CF"/>
    <w:rsid w:val="007D3139"/>
    <w:rsid w:val="007D4EA6"/>
    <w:rsid w:val="007D74DB"/>
    <w:rsid w:val="008032E5"/>
    <w:rsid w:val="00803F4E"/>
    <w:rsid w:val="00806B82"/>
    <w:rsid w:val="00820EED"/>
    <w:rsid w:val="00832A5E"/>
    <w:rsid w:val="008346BD"/>
    <w:rsid w:val="008442BF"/>
    <w:rsid w:val="00846719"/>
    <w:rsid w:val="00850ED3"/>
    <w:rsid w:val="0085244B"/>
    <w:rsid w:val="00855E32"/>
    <w:rsid w:val="00864EFE"/>
    <w:rsid w:val="0087281D"/>
    <w:rsid w:val="00890CBF"/>
    <w:rsid w:val="008A0DC9"/>
    <w:rsid w:val="008A2B24"/>
    <w:rsid w:val="008A3CD6"/>
    <w:rsid w:val="008A6CF5"/>
    <w:rsid w:val="008B68DB"/>
    <w:rsid w:val="008B7FF9"/>
    <w:rsid w:val="008D276D"/>
    <w:rsid w:val="008F1F20"/>
    <w:rsid w:val="00913B9D"/>
    <w:rsid w:val="0092679D"/>
    <w:rsid w:val="00932A9C"/>
    <w:rsid w:val="0095035E"/>
    <w:rsid w:val="00952E4A"/>
    <w:rsid w:val="009605E6"/>
    <w:rsid w:val="009627E0"/>
    <w:rsid w:val="00972B9B"/>
    <w:rsid w:val="009838BC"/>
    <w:rsid w:val="0098603F"/>
    <w:rsid w:val="0098792C"/>
    <w:rsid w:val="00991F6E"/>
    <w:rsid w:val="009A3E2B"/>
    <w:rsid w:val="009B7304"/>
    <w:rsid w:val="009B7B48"/>
    <w:rsid w:val="009D4A5E"/>
    <w:rsid w:val="009D5D8A"/>
    <w:rsid w:val="009E2A75"/>
    <w:rsid w:val="009E2C93"/>
    <w:rsid w:val="00A0010C"/>
    <w:rsid w:val="00A01CFF"/>
    <w:rsid w:val="00A05987"/>
    <w:rsid w:val="00A32D18"/>
    <w:rsid w:val="00A36FEA"/>
    <w:rsid w:val="00A63000"/>
    <w:rsid w:val="00A6648A"/>
    <w:rsid w:val="00A7594F"/>
    <w:rsid w:val="00A764D6"/>
    <w:rsid w:val="00A76E83"/>
    <w:rsid w:val="00A859A1"/>
    <w:rsid w:val="00A87108"/>
    <w:rsid w:val="00AA12A3"/>
    <w:rsid w:val="00AC1376"/>
    <w:rsid w:val="00AD4AB3"/>
    <w:rsid w:val="00AE49BE"/>
    <w:rsid w:val="00AE49E3"/>
    <w:rsid w:val="00B157A2"/>
    <w:rsid w:val="00B217DE"/>
    <w:rsid w:val="00B25B6A"/>
    <w:rsid w:val="00B25DD2"/>
    <w:rsid w:val="00B42AE6"/>
    <w:rsid w:val="00B4661D"/>
    <w:rsid w:val="00B478B0"/>
    <w:rsid w:val="00B521B9"/>
    <w:rsid w:val="00B54B6C"/>
    <w:rsid w:val="00B82367"/>
    <w:rsid w:val="00B86BCA"/>
    <w:rsid w:val="00BA148A"/>
    <w:rsid w:val="00BB108F"/>
    <w:rsid w:val="00BC033A"/>
    <w:rsid w:val="00BC1014"/>
    <w:rsid w:val="00BC4DA9"/>
    <w:rsid w:val="00BD20D0"/>
    <w:rsid w:val="00BD618E"/>
    <w:rsid w:val="00BE53C1"/>
    <w:rsid w:val="00C03E69"/>
    <w:rsid w:val="00C04569"/>
    <w:rsid w:val="00C229AC"/>
    <w:rsid w:val="00C374E0"/>
    <w:rsid w:val="00C51A47"/>
    <w:rsid w:val="00C51E9A"/>
    <w:rsid w:val="00C75453"/>
    <w:rsid w:val="00C82648"/>
    <w:rsid w:val="00C83A37"/>
    <w:rsid w:val="00C90908"/>
    <w:rsid w:val="00CA45C7"/>
    <w:rsid w:val="00CA72D0"/>
    <w:rsid w:val="00CB4182"/>
    <w:rsid w:val="00CC65CF"/>
    <w:rsid w:val="00CD0CAC"/>
    <w:rsid w:val="00CD6026"/>
    <w:rsid w:val="00CF3D8B"/>
    <w:rsid w:val="00CF55A1"/>
    <w:rsid w:val="00D152A4"/>
    <w:rsid w:val="00D154BC"/>
    <w:rsid w:val="00D23148"/>
    <w:rsid w:val="00D43DA6"/>
    <w:rsid w:val="00D448BA"/>
    <w:rsid w:val="00D51B1D"/>
    <w:rsid w:val="00D729BC"/>
    <w:rsid w:val="00D817D6"/>
    <w:rsid w:val="00D90F63"/>
    <w:rsid w:val="00D96465"/>
    <w:rsid w:val="00DA65CA"/>
    <w:rsid w:val="00DB1F8A"/>
    <w:rsid w:val="00DB4EF2"/>
    <w:rsid w:val="00DB582C"/>
    <w:rsid w:val="00DC16B8"/>
    <w:rsid w:val="00DC3FD4"/>
    <w:rsid w:val="00DC5E82"/>
    <w:rsid w:val="00DE2D0C"/>
    <w:rsid w:val="00DE5D92"/>
    <w:rsid w:val="00E00332"/>
    <w:rsid w:val="00E21504"/>
    <w:rsid w:val="00E30A91"/>
    <w:rsid w:val="00E32DB4"/>
    <w:rsid w:val="00E42C10"/>
    <w:rsid w:val="00E60CDB"/>
    <w:rsid w:val="00E6554E"/>
    <w:rsid w:val="00E7390F"/>
    <w:rsid w:val="00E74AA0"/>
    <w:rsid w:val="00E92410"/>
    <w:rsid w:val="00E9271F"/>
    <w:rsid w:val="00E965EB"/>
    <w:rsid w:val="00EA0F4C"/>
    <w:rsid w:val="00EA134C"/>
    <w:rsid w:val="00EA47E1"/>
    <w:rsid w:val="00EB4445"/>
    <w:rsid w:val="00EC33AF"/>
    <w:rsid w:val="00EE6684"/>
    <w:rsid w:val="00EE7572"/>
    <w:rsid w:val="00EF1386"/>
    <w:rsid w:val="00EF233A"/>
    <w:rsid w:val="00F05971"/>
    <w:rsid w:val="00F314E1"/>
    <w:rsid w:val="00F341DB"/>
    <w:rsid w:val="00F47547"/>
    <w:rsid w:val="00F6393D"/>
    <w:rsid w:val="00F6398A"/>
    <w:rsid w:val="00F71D65"/>
    <w:rsid w:val="00F747D1"/>
    <w:rsid w:val="00F82637"/>
    <w:rsid w:val="00F84FC3"/>
    <w:rsid w:val="00F855EF"/>
    <w:rsid w:val="00F92556"/>
    <w:rsid w:val="00FA0CAE"/>
    <w:rsid w:val="00FA7746"/>
    <w:rsid w:val="00FA7F99"/>
    <w:rsid w:val="00FC280F"/>
    <w:rsid w:val="00FC5A16"/>
    <w:rsid w:val="00FC603D"/>
    <w:rsid w:val="00FE31E5"/>
    <w:rsid w:val="519A8BC1"/>
    <w:rsid w:val="6C28D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46CA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2C93"/>
    <w:pPr>
      <w:widowControl w:val="0"/>
    </w:pPr>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D448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9E2C93"/>
    <w:pPr>
      <w:ind w:left="720"/>
      <w:contextualSpacing/>
    </w:pPr>
  </w:style>
  <w:style w:type="table" w:styleId="TableGrid">
    <w:name w:val="Table Grid"/>
    <w:basedOn w:val="TableNormal"/>
    <w:uiPriority w:val="59"/>
    <w:rsid w:val="009E2C93"/>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9E2C93"/>
    <w:rPr>
      <w:rFonts w:ascii="Calibri" w:eastAsia="Calibri" w:hAnsi="Calibri" w:cs="Calibri"/>
      <w:color w:val="000000"/>
      <w:sz w:val="22"/>
      <w:szCs w:val="22"/>
    </w:rPr>
  </w:style>
  <w:style w:type="character" w:styleId="Hyperlink">
    <w:name w:val="Hyperlink"/>
    <w:basedOn w:val="DefaultParagraphFont"/>
    <w:uiPriority w:val="99"/>
    <w:unhideWhenUsed/>
    <w:rsid w:val="009E2C93"/>
    <w:rPr>
      <w:color w:val="0563C1" w:themeColor="hyperlink"/>
      <w:u w:val="single"/>
    </w:rPr>
  </w:style>
  <w:style w:type="character" w:styleId="CommentReference">
    <w:name w:val="annotation reference"/>
    <w:basedOn w:val="DefaultParagraphFont"/>
    <w:uiPriority w:val="99"/>
    <w:semiHidden/>
    <w:unhideWhenUsed/>
    <w:rsid w:val="00B42AE6"/>
    <w:rPr>
      <w:sz w:val="18"/>
      <w:szCs w:val="18"/>
    </w:rPr>
  </w:style>
  <w:style w:type="paragraph" w:styleId="CommentText">
    <w:name w:val="annotation text"/>
    <w:basedOn w:val="Normal"/>
    <w:link w:val="CommentTextChar"/>
    <w:uiPriority w:val="99"/>
    <w:semiHidden/>
    <w:unhideWhenUsed/>
    <w:rsid w:val="00B42AE6"/>
    <w:rPr>
      <w:sz w:val="24"/>
      <w:szCs w:val="24"/>
    </w:rPr>
  </w:style>
  <w:style w:type="character" w:customStyle="1" w:styleId="CommentTextChar">
    <w:name w:val="Comment Text Char"/>
    <w:basedOn w:val="DefaultParagraphFont"/>
    <w:link w:val="CommentText"/>
    <w:uiPriority w:val="99"/>
    <w:semiHidden/>
    <w:rsid w:val="00B42AE6"/>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B42AE6"/>
    <w:rPr>
      <w:b/>
      <w:bCs/>
      <w:sz w:val="20"/>
      <w:szCs w:val="20"/>
    </w:rPr>
  </w:style>
  <w:style w:type="character" w:customStyle="1" w:styleId="CommentSubjectChar">
    <w:name w:val="Comment Subject Char"/>
    <w:basedOn w:val="CommentTextChar"/>
    <w:link w:val="CommentSubject"/>
    <w:uiPriority w:val="99"/>
    <w:semiHidden/>
    <w:rsid w:val="00B42A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42A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AE6"/>
    <w:rPr>
      <w:rFonts w:ascii="Times New Roman" w:eastAsia="Calibri" w:hAnsi="Times New Roman" w:cs="Times New Roman"/>
      <w:color w:val="000000"/>
      <w:sz w:val="18"/>
      <w:szCs w:val="18"/>
    </w:rPr>
  </w:style>
  <w:style w:type="character" w:styleId="FollowedHyperlink">
    <w:name w:val="FollowedHyperlink"/>
    <w:basedOn w:val="DefaultParagraphFont"/>
    <w:uiPriority w:val="99"/>
    <w:semiHidden/>
    <w:unhideWhenUsed/>
    <w:rsid w:val="000F4BD8"/>
    <w:rPr>
      <w:color w:val="954F72" w:themeColor="followedHyperlink"/>
      <w:u w:val="single"/>
    </w:rPr>
  </w:style>
  <w:style w:type="paragraph" w:styleId="Header">
    <w:name w:val="header"/>
    <w:basedOn w:val="Normal"/>
    <w:link w:val="HeaderChar"/>
    <w:uiPriority w:val="99"/>
    <w:unhideWhenUsed/>
    <w:rsid w:val="003A7A6F"/>
    <w:pPr>
      <w:tabs>
        <w:tab w:val="center" w:pos="4680"/>
        <w:tab w:val="right" w:pos="9360"/>
      </w:tabs>
    </w:pPr>
  </w:style>
  <w:style w:type="character" w:customStyle="1" w:styleId="HeaderChar">
    <w:name w:val="Header Char"/>
    <w:basedOn w:val="DefaultParagraphFont"/>
    <w:link w:val="Header"/>
    <w:uiPriority w:val="99"/>
    <w:rsid w:val="003A7A6F"/>
    <w:rPr>
      <w:rFonts w:ascii="Calibri" w:eastAsia="Calibri" w:hAnsi="Calibri" w:cs="Calibri"/>
      <w:color w:val="000000"/>
      <w:sz w:val="22"/>
      <w:szCs w:val="22"/>
    </w:rPr>
  </w:style>
  <w:style w:type="paragraph" w:styleId="Footer">
    <w:name w:val="footer"/>
    <w:basedOn w:val="Normal"/>
    <w:link w:val="FooterChar"/>
    <w:uiPriority w:val="99"/>
    <w:unhideWhenUsed/>
    <w:rsid w:val="003A7A6F"/>
    <w:pPr>
      <w:tabs>
        <w:tab w:val="center" w:pos="4680"/>
        <w:tab w:val="right" w:pos="9360"/>
      </w:tabs>
    </w:pPr>
  </w:style>
  <w:style w:type="character" w:customStyle="1" w:styleId="FooterChar">
    <w:name w:val="Footer Char"/>
    <w:basedOn w:val="DefaultParagraphFont"/>
    <w:link w:val="Footer"/>
    <w:uiPriority w:val="99"/>
    <w:rsid w:val="003A7A6F"/>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3A7A6F"/>
  </w:style>
  <w:style w:type="paragraph" w:styleId="Caption">
    <w:name w:val="caption"/>
    <w:basedOn w:val="Normal"/>
    <w:next w:val="Normal"/>
    <w:uiPriority w:val="35"/>
    <w:unhideWhenUsed/>
    <w:qFormat/>
    <w:rsid w:val="003A53FC"/>
    <w:pPr>
      <w:spacing w:after="200"/>
    </w:pPr>
    <w:rPr>
      <w:i/>
      <w:iCs/>
      <w:color w:val="44546A" w:themeColor="text2"/>
      <w:sz w:val="18"/>
      <w:szCs w:val="18"/>
    </w:rPr>
  </w:style>
  <w:style w:type="paragraph" w:styleId="FootnoteText">
    <w:name w:val="footnote text"/>
    <w:aliases w:val="Geneva 9,Font: Geneva 9,Boston 10,f,Char,single space,footnote text,Footnote,otnote Text,ft,DNV-FT,fn,ADB,Fußnote,WB-Fußnotentext,WB-Fußnotentext Char Char,Fußnotentext Char,FOOTNOTES,footnote text Char Char,Footnote Text Char1 Char"/>
    <w:basedOn w:val="Normal"/>
    <w:link w:val="FootnoteTextChar"/>
    <w:uiPriority w:val="99"/>
    <w:unhideWhenUsed/>
    <w:rsid w:val="002E373F"/>
    <w:rPr>
      <w:sz w:val="24"/>
      <w:szCs w:val="24"/>
    </w:rPr>
  </w:style>
  <w:style w:type="character" w:customStyle="1" w:styleId="FootnoteTextChar">
    <w:name w:val="Footnote Text Char"/>
    <w:aliases w:val="Geneva 9 Char,Font: Geneva 9 Char,Boston 10 Char,f Char,Char Char,single space Char,footnote text Char,Footnote Char,otnote Text Char,ft Char,DNV-FT Char,fn Char,ADB Char,Fußnote Char,WB-Fußnotentext Char,Fußnotentext Char Char"/>
    <w:basedOn w:val="DefaultParagraphFont"/>
    <w:link w:val="FootnoteText"/>
    <w:uiPriority w:val="99"/>
    <w:rsid w:val="002E373F"/>
    <w:rPr>
      <w:rFonts w:ascii="Calibri" w:eastAsia="Calibri" w:hAnsi="Calibri" w:cs="Calibri"/>
      <w:color w:val="000000"/>
    </w:rPr>
  </w:style>
  <w:style w:type="character" w:styleId="FootnoteReference">
    <w:name w:val="footnote reference"/>
    <w:aliases w:val="16 Point,Superscript 6 Point,ftref,(NECG) Footnote Reference,Fußnotenzeichen DISS,fr,de nota al pie,Ref,Footnote Ref in FtNote,SUPERS,FnR-ANZDEC,Superscript 6 Point + 11 pt,BVI fnr,BVI fnr Car Car,BVI fnr Car,BVI fnr Car Car Car Car"/>
    <w:basedOn w:val="DefaultParagraphFont"/>
    <w:uiPriority w:val="99"/>
    <w:unhideWhenUsed/>
    <w:rsid w:val="002E373F"/>
    <w:rPr>
      <w:vertAlign w:val="superscript"/>
    </w:rPr>
  </w:style>
  <w:style w:type="character" w:customStyle="1" w:styleId="UnresolvedMention1">
    <w:name w:val="Unresolved Mention1"/>
    <w:basedOn w:val="DefaultParagraphFont"/>
    <w:uiPriority w:val="99"/>
    <w:rsid w:val="003D124E"/>
    <w:rPr>
      <w:color w:val="808080"/>
      <w:shd w:val="clear" w:color="auto" w:fill="E6E6E6"/>
    </w:rPr>
  </w:style>
  <w:style w:type="paragraph" w:styleId="Revision">
    <w:name w:val="Revision"/>
    <w:hidden/>
    <w:uiPriority w:val="99"/>
    <w:semiHidden/>
    <w:rsid w:val="00D448BA"/>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D448BA"/>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1259E5"/>
    <w:rPr>
      <w:color w:val="808080"/>
      <w:shd w:val="clear" w:color="auto" w:fill="E6E6E6"/>
    </w:rPr>
  </w:style>
  <w:style w:type="paragraph" w:styleId="NormalWeb">
    <w:name w:val="Normal (Web)"/>
    <w:basedOn w:val="Normal"/>
    <w:uiPriority w:val="99"/>
    <w:semiHidden/>
    <w:unhideWhenUsed/>
    <w:rsid w:val="00E30A91"/>
    <w:pPr>
      <w:widowControl/>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146">
      <w:bodyDiv w:val="1"/>
      <w:marLeft w:val="0"/>
      <w:marRight w:val="0"/>
      <w:marTop w:val="0"/>
      <w:marBottom w:val="0"/>
      <w:divBdr>
        <w:top w:val="none" w:sz="0" w:space="0" w:color="auto"/>
        <w:left w:val="none" w:sz="0" w:space="0" w:color="auto"/>
        <w:bottom w:val="none" w:sz="0" w:space="0" w:color="auto"/>
        <w:right w:val="none" w:sz="0" w:space="0" w:color="auto"/>
      </w:divBdr>
    </w:div>
    <w:div w:id="608663190">
      <w:bodyDiv w:val="1"/>
      <w:marLeft w:val="0"/>
      <w:marRight w:val="0"/>
      <w:marTop w:val="0"/>
      <w:marBottom w:val="0"/>
      <w:divBdr>
        <w:top w:val="none" w:sz="0" w:space="0" w:color="auto"/>
        <w:left w:val="none" w:sz="0" w:space="0" w:color="auto"/>
        <w:bottom w:val="none" w:sz="0" w:space="0" w:color="auto"/>
        <w:right w:val="none" w:sz="0" w:space="0" w:color="auto"/>
      </w:divBdr>
      <w:divsChild>
        <w:div w:id="1667129971">
          <w:marLeft w:val="0"/>
          <w:marRight w:val="0"/>
          <w:marTop w:val="0"/>
          <w:marBottom w:val="0"/>
          <w:divBdr>
            <w:top w:val="none" w:sz="0" w:space="0" w:color="auto"/>
            <w:left w:val="none" w:sz="0" w:space="0" w:color="auto"/>
            <w:bottom w:val="none" w:sz="0" w:space="0" w:color="auto"/>
            <w:right w:val="none" w:sz="0" w:space="0" w:color="auto"/>
          </w:divBdr>
        </w:div>
        <w:div w:id="1968658974">
          <w:marLeft w:val="0"/>
          <w:marRight w:val="0"/>
          <w:marTop w:val="0"/>
          <w:marBottom w:val="0"/>
          <w:divBdr>
            <w:top w:val="none" w:sz="0" w:space="0" w:color="auto"/>
            <w:left w:val="none" w:sz="0" w:space="0" w:color="auto"/>
            <w:bottom w:val="none" w:sz="0" w:space="0" w:color="auto"/>
            <w:right w:val="none" w:sz="0" w:space="0" w:color="auto"/>
          </w:divBdr>
        </w:div>
        <w:div w:id="1501316068">
          <w:marLeft w:val="0"/>
          <w:marRight w:val="0"/>
          <w:marTop w:val="0"/>
          <w:marBottom w:val="0"/>
          <w:divBdr>
            <w:top w:val="none" w:sz="0" w:space="0" w:color="auto"/>
            <w:left w:val="none" w:sz="0" w:space="0" w:color="auto"/>
            <w:bottom w:val="none" w:sz="0" w:space="0" w:color="auto"/>
            <w:right w:val="none" w:sz="0" w:space="0" w:color="auto"/>
          </w:divBdr>
        </w:div>
        <w:div w:id="783043042">
          <w:marLeft w:val="0"/>
          <w:marRight w:val="0"/>
          <w:marTop w:val="0"/>
          <w:marBottom w:val="0"/>
          <w:divBdr>
            <w:top w:val="none" w:sz="0" w:space="0" w:color="auto"/>
            <w:left w:val="none" w:sz="0" w:space="0" w:color="auto"/>
            <w:bottom w:val="none" w:sz="0" w:space="0" w:color="auto"/>
            <w:right w:val="none" w:sz="0" w:space="0" w:color="auto"/>
          </w:divBdr>
        </w:div>
        <w:div w:id="251545134">
          <w:marLeft w:val="0"/>
          <w:marRight w:val="0"/>
          <w:marTop w:val="0"/>
          <w:marBottom w:val="0"/>
          <w:divBdr>
            <w:top w:val="none" w:sz="0" w:space="0" w:color="auto"/>
            <w:left w:val="none" w:sz="0" w:space="0" w:color="auto"/>
            <w:bottom w:val="none" w:sz="0" w:space="0" w:color="auto"/>
            <w:right w:val="none" w:sz="0" w:space="0" w:color="auto"/>
          </w:divBdr>
        </w:div>
        <w:div w:id="2085033111">
          <w:marLeft w:val="0"/>
          <w:marRight w:val="0"/>
          <w:marTop w:val="0"/>
          <w:marBottom w:val="0"/>
          <w:divBdr>
            <w:top w:val="none" w:sz="0" w:space="0" w:color="auto"/>
            <w:left w:val="none" w:sz="0" w:space="0" w:color="auto"/>
            <w:bottom w:val="none" w:sz="0" w:space="0" w:color="auto"/>
            <w:right w:val="none" w:sz="0" w:space="0" w:color="auto"/>
          </w:divBdr>
        </w:div>
        <w:div w:id="2143500111">
          <w:marLeft w:val="0"/>
          <w:marRight w:val="0"/>
          <w:marTop w:val="0"/>
          <w:marBottom w:val="0"/>
          <w:divBdr>
            <w:top w:val="none" w:sz="0" w:space="0" w:color="auto"/>
            <w:left w:val="none" w:sz="0" w:space="0" w:color="auto"/>
            <w:bottom w:val="none" w:sz="0" w:space="0" w:color="auto"/>
            <w:right w:val="none" w:sz="0" w:space="0" w:color="auto"/>
          </w:divBdr>
        </w:div>
        <w:div w:id="1551921711">
          <w:marLeft w:val="0"/>
          <w:marRight w:val="0"/>
          <w:marTop w:val="0"/>
          <w:marBottom w:val="0"/>
          <w:divBdr>
            <w:top w:val="none" w:sz="0" w:space="0" w:color="auto"/>
            <w:left w:val="none" w:sz="0" w:space="0" w:color="auto"/>
            <w:bottom w:val="none" w:sz="0" w:space="0" w:color="auto"/>
            <w:right w:val="none" w:sz="0" w:space="0" w:color="auto"/>
          </w:divBdr>
        </w:div>
      </w:divsChild>
    </w:div>
    <w:div w:id="753358766">
      <w:bodyDiv w:val="1"/>
      <w:marLeft w:val="0"/>
      <w:marRight w:val="0"/>
      <w:marTop w:val="0"/>
      <w:marBottom w:val="0"/>
      <w:divBdr>
        <w:top w:val="none" w:sz="0" w:space="0" w:color="auto"/>
        <w:left w:val="none" w:sz="0" w:space="0" w:color="auto"/>
        <w:bottom w:val="none" w:sz="0" w:space="0" w:color="auto"/>
        <w:right w:val="none" w:sz="0" w:space="0" w:color="auto"/>
      </w:divBdr>
    </w:div>
    <w:div w:id="1211577576">
      <w:bodyDiv w:val="1"/>
      <w:marLeft w:val="0"/>
      <w:marRight w:val="0"/>
      <w:marTop w:val="0"/>
      <w:marBottom w:val="0"/>
      <w:divBdr>
        <w:top w:val="none" w:sz="0" w:space="0" w:color="auto"/>
        <w:left w:val="none" w:sz="0" w:space="0" w:color="auto"/>
        <w:bottom w:val="none" w:sz="0" w:space="0" w:color="auto"/>
        <w:right w:val="none" w:sz="0" w:space="0" w:color="auto"/>
      </w:divBdr>
    </w:div>
    <w:div w:id="162130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guaenvironmentdivisi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E@ab.gov.a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zone.birdlife.org/site/factsheet/20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A02C55-1AC4-4009-A0DE-59683CF9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2018-10-23T15:09:00Z</dcterms:created>
  <dcterms:modified xsi:type="dcterms:W3CDTF">2018-10-23T15:09:00Z</dcterms:modified>
</cp:coreProperties>
</file>